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ind w:firstLine="400" w:firstLineChars="200"/>
        <w:jc w:val="center"/>
        <w:rPr>
          <w:rFonts w:ascii="仿宋" w:hAnsi="仿宋" w:eastAsia="仿宋" w:cs="Noto Sans Mono CJK JP Regular"/>
          <w:color w:val="auto"/>
          <w:kern w:val="0"/>
          <w:sz w:val="20"/>
          <w:szCs w:val="24"/>
          <w:lang w:val="zh-CN" w:bidi="zh-CN"/>
        </w:rPr>
      </w:pPr>
    </w:p>
    <w:p>
      <w:pPr>
        <w:autoSpaceDE w:val="0"/>
        <w:autoSpaceDN w:val="0"/>
        <w:adjustRightInd w:val="0"/>
        <w:snapToGrid w:val="0"/>
        <w:spacing w:line="360" w:lineRule="auto"/>
        <w:ind w:firstLine="400" w:firstLineChars="200"/>
        <w:jc w:val="center"/>
        <w:rPr>
          <w:rFonts w:ascii="仿宋" w:hAnsi="仿宋" w:eastAsia="仿宋" w:cs="Noto Sans Mono CJK JP Regular"/>
          <w:color w:val="auto"/>
          <w:kern w:val="0"/>
          <w:sz w:val="20"/>
          <w:szCs w:val="24"/>
          <w:lang w:val="zh-CN" w:bidi="zh-CN"/>
        </w:rPr>
      </w:pPr>
    </w:p>
    <w:p>
      <w:pPr>
        <w:autoSpaceDE w:val="0"/>
        <w:autoSpaceDN w:val="0"/>
        <w:adjustRightInd w:val="0"/>
        <w:snapToGrid w:val="0"/>
        <w:spacing w:line="360" w:lineRule="auto"/>
        <w:ind w:firstLine="400" w:firstLineChars="200"/>
        <w:jc w:val="center"/>
        <w:rPr>
          <w:rFonts w:ascii="仿宋" w:hAnsi="仿宋" w:eastAsia="仿宋" w:cs="Noto Sans Mono CJK JP Regular"/>
          <w:color w:val="auto"/>
          <w:kern w:val="0"/>
          <w:sz w:val="20"/>
          <w:szCs w:val="24"/>
          <w:lang w:val="zh-CN" w:bidi="zh-CN"/>
        </w:rPr>
      </w:pPr>
    </w:p>
    <w:p>
      <w:pPr>
        <w:autoSpaceDE w:val="0"/>
        <w:autoSpaceDN w:val="0"/>
        <w:adjustRightInd w:val="0"/>
        <w:snapToGrid w:val="0"/>
        <w:spacing w:line="360" w:lineRule="auto"/>
        <w:ind w:firstLine="883" w:firstLineChars="200"/>
        <w:jc w:val="center"/>
        <w:rPr>
          <w:rFonts w:ascii="仿宋" w:hAnsi="仿宋" w:eastAsia="仿宋" w:cs="Noto Sans Mono CJK JP Regular"/>
          <w:color w:val="auto"/>
          <w:kern w:val="0"/>
          <w:sz w:val="20"/>
          <w:szCs w:val="24"/>
          <w:lang w:val="zh-CN" w:bidi="zh-CN"/>
        </w:rPr>
      </w:pPr>
      <w:r>
        <w:rPr>
          <w:rFonts w:hint="eastAsia" w:ascii="仿宋" w:hAnsi="仿宋" w:eastAsia="仿宋" w:cs="仿宋"/>
          <w:b/>
          <w:color w:val="auto"/>
          <w:sz w:val="44"/>
          <w:szCs w:val="44"/>
          <w:lang w:eastAsia="zh-CN"/>
        </w:rPr>
        <w:drawing>
          <wp:anchor distT="0" distB="0" distL="114300" distR="114300" simplePos="0" relativeHeight="251659264" behindDoc="0" locked="0" layoutInCell="1" allowOverlap="1">
            <wp:simplePos x="0" y="0"/>
            <wp:positionH relativeFrom="page">
              <wp:posOffset>1141730</wp:posOffset>
            </wp:positionH>
            <wp:positionV relativeFrom="paragraph">
              <wp:posOffset>109220</wp:posOffset>
            </wp:positionV>
            <wp:extent cx="5271135" cy="1020445"/>
            <wp:effectExtent l="0" t="0" r="5715" b="8255"/>
            <wp:wrapNone/>
            <wp:docPr id="6" name="图片 6" descr="学院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院logo"/>
                    <pic:cNvPicPr>
                      <a:picLocks noChangeAspect="1"/>
                    </pic:cNvPicPr>
                  </pic:nvPicPr>
                  <pic:blipFill>
                    <a:blip r:embed="rId4"/>
                    <a:stretch>
                      <a:fillRect/>
                    </a:stretch>
                  </pic:blipFill>
                  <pic:spPr>
                    <a:xfrm>
                      <a:off x="0" y="0"/>
                      <a:ext cx="5271135" cy="1020445"/>
                    </a:xfrm>
                    <a:prstGeom prst="rect">
                      <a:avLst/>
                    </a:prstGeom>
                  </pic:spPr>
                </pic:pic>
              </a:graphicData>
            </a:graphic>
          </wp:anchor>
        </w:drawing>
      </w:r>
    </w:p>
    <w:p>
      <w:pPr>
        <w:autoSpaceDE w:val="0"/>
        <w:autoSpaceDN w:val="0"/>
        <w:adjustRightInd w:val="0"/>
        <w:snapToGrid w:val="0"/>
        <w:spacing w:line="360" w:lineRule="auto"/>
        <w:ind w:firstLine="500" w:firstLineChars="200"/>
        <w:jc w:val="left"/>
        <w:rPr>
          <w:rFonts w:ascii="仿宋" w:hAnsi="仿宋" w:eastAsia="仿宋" w:cs="Noto Sans Mono CJK JP Regular"/>
          <w:color w:val="auto"/>
          <w:kern w:val="0"/>
          <w:sz w:val="25"/>
          <w:szCs w:val="24"/>
          <w:lang w:val="zh-CN" w:bidi="zh-CN"/>
        </w:rPr>
      </w:pPr>
    </w:p>
    <w:p>
      <w:pPr>
        <w:autoSpaceDE w:val="0"/>
        <w:autoSpaceDN w:val="0"/>
        <w:adjustRightInd w:val="0"/>
        <w:snapToGrid w:val="0"/>
        <w:spacing w:line="360" w:lineRule="auto"/>
        <w:ind w:firstLine="500" w:firstLineChars="200"/>
        <w:jc w:val="left"/>
        <w:rPr>
          <w:rFonts w:ascii="仿宋" w:hAnsi="仿宋" w:eastAsia="仿宋" w:cs="Noto Sans Mono CJK JP Regular"/>
          <w:color w:val="auto"/>
          <w:kern w:val="0"/>
          <w:sz w:val="25"/>
          <w:szCs w:val="24"/>
          <w:lang w:val="zh-CN" w:bidi="zh-CN"/>
        </w:rPr>
      </w:pPr>
    </w:p>
    <w:p>
      <w:pPr>
        <w:adjustRightInd w:val="0"/>
        <w:snapToGrid w:val="0"/>
        <w:spacing w:line="360" w:lineRule="auto"/>
        <w:jc w:val="center"/>
        <w:rPr>
          <w:rFonts w:hint="eastAsia" w:ascii="仿宋" w:hAnsi="仿宋" w:eastAsia="仿宋" w:cs="Times New Roman"/>
          <w:b/>
          <w:color w:val="auto"/>
          <w:sz w:val="72"/>
          <w:szCs w:val="72"/>
        </w:rPr>
      </w:pPr>
    </w:p>
    <w:p>
      <w:pPr>
        <w:adjustRightInd w:val="0"/>
        <w:snapToGrid w:val="0"/>
        <w:spacing w:line="360" w:lineRule="auto"/>
        <w:jc w:val="center"/>
        <w:rPr>
          <w:rFonts w:hint="eastAsia" w:ascii="仿宋" w:hAnsi="仿宋" w:eastAsia="仿宋" w:cs="Times New Roman"/>
          <w:b/>
          <w:color w:val="auto"/>
          <w:sz w:val="72"/>
          <w:szCs w:val="72"/>
        </w:rPr>
      </w:pPr>
    </w:p>
    <w:p>
      <w:pPr>
        <w:adjustRightInd w:val="0"/>
        <w:snapToGrid w:val="0"/>
        <w:spacing w:line="360" w:lineRule="auto"/>
        <w:jc w:val="center"/>
        <w:rPr>
          <w:rFonts w:hint="eastAsia" w:ascii="黑体" w:hAnsi="黑体" w:eastAsia="黑体" w:cs="黑体"/>
          <w:b/>
          <w:bCs w:val="0"/>
          <w:color w:val="auto"/>
          <w:sz w:val="60"/>
          <w:szCs w:val="60"/>
          <w:lang w:val="en-US" w:eastAsia="zh-CN"/>
        </w:rPr>
      </w:pPr>
      <w:r>
        <w:rPr>
          <w:rFonts w:hint="eastAsia" w:ascii="黑体" w:hAnsi="黑体" w:eastAsia="黑体" w:cs="黑体"/>
          <w:b/>
          <w:bCs w:val="0"/>
          <w:color w:val="auto"/>
          <w:sz w:val="60"/>
          <w:szCs w:val="60"/>
          <w:lang w:eastAsia="zh-CN"/>
        </w:rPr>
        <w:t>教学管理制度</w:t>
      </w:r>
    </w:p>
    <w:p>
      <w:pPr>
        <w:autoSpaceDE w:val="0"/>
        <w:autoSpaceDN w:val="0"/>
        <w:adjustRightInd w:val="0"/>
        <w:snapToGrid w:val="0"/>
        <w:spacing w:line="360" w:lineRule="auto"/>
        <w:ind w:firstLine="800" w:firstLineChars="200"/>
        <w:jc w:val="center"/>
        <w:rPr>
          <w:rFonts w:ascii="仿宋" w:hAnsi="仿宋" w:eastAsia="仿宋" w:cs="Noto Sans Mono CJK JP Regular"/>
          <w:color w:val="auto"/>
          <w:kern w:val="0"/>
          <w:sz w:val="40"/>
          <w:szCs w:val="40"/>
          <w:lang w:val="zh-CN" w:bidi="zh-CN"/>
        </w:rPr>
      </w:pPr>
    </w:p>
    <w:p>
      <w:pPr>
        <w:autoSpaceDE w:val="0"/>
        <w:autoSpaceDN w:val="0"/>
        <w:adjustRightInd w:val="0"/>
        <w:snapToGrid w:val="0"/>
        <w:spacing w:line="360" w:lineRule="auto"/>
        <w:ind w:firstLine="800" w:firstLineChars="200"/>
        <w:jc w:val="left"/>
        <w:rPr>
          <w:rFonts w:ascii="仿宋" w:hAnsi="仿宋" w:eastAsia="仿宋" w:cs="Noto Sans Mono CJK JP Regular"/>
          <w:color w:val="auto"/>
          <w:kern w:val="0"/>
          <w:sz w:val="40"/>
          <w:szCs w:val="40"/>
          <w:lang w:val="zh-CN" w:bidi="zh-CN"/>
        </w:rPr>
      </w:pPr>
    </w:p>
    <w:p>
      <w:pPr>
        <w:autoSpaceDE w:val="0"/>
        <w:autoSpaceDN w:val="0"/>
        <w:adjustRightInd w:val="0"/>
        <w:snapToGrid w:val="0"/>
        <w:spacing w:line="360" w:lineRule="auto"/>
        <w:ind w:firstLine="800" w:firstLineChars="200"/>
        <w:jc w:val="left"/>
        <w:rPr>
          <w:rFonts w:ascii="仿宋" w:hAnsi="仿宋" w:eastAsia="仿宋" w:cs="Noto Sans Mono CJK JP Regular"/>
          <w:color w:val="auto"/>
          <w:kern w:val="0"/>
          <w:sz w:val="40"/>
          <w:szCs w:val="40"/>
          <w:lang w:val="zh-CN" w:bidi="zh-CN"/>
        </w:rPr>
      </w:pPr>
    </w:p>
    <w:p>
      <w:pPr>
        <w:autoSpaceDE w:val="0"/>
        <w:autoSpaceDN w:val="0"/>
        <w:adjustRightInd w:val="0"/>
        <w:snapToGrid w:val="0"/>
        <w:spacing w:line="360" w:lineRule="auto"/>
        <w:ind w:firstLine="800" w:firstLineChars="200"/>
        <w:jc w:val="left"/>
        <w:rPr>
          <w:rFonts w:ascii="仿宋" w:hAnsi="仿宋" w:eastAsia="仿宋" w:cs="Noto Sans Mono CJK JP Regular"/>
          <w:color w:val="auto"/>
          <w:kern w:val="0"/>
          <w:sz w:val="40"/>
          <w:szCs w:val="40"/>
          <w:lang w:val="zh-CN" w:bidi="zh-CN"/>
        </w:rPr>
      </w:pPr>
    </w:p>
    <w:p>
      <w:pPr>
        <w:autoSpaceDE w:val="0"/>
        <w:autoSpaceDN w:val="0"/>
        <w:adjustRightInd w:val="0"/>
        <w:snapToGrid w:val="0"/>
        <w:spacing w:line="360" w:lineRule="auto"/>
        <w:ind w:firstLine="800" w:firstLineChars="200"/>
        <w:jc w:val="left"/>
        <w:rPr>
          <w:rFonts w:ascii="仿宋" w:hAnsi="仿宋" w:eastAsia="仿宋" w:cs="Noto Sans Mono CJK JP Regular"/>
          <w:color w:val="auto"/>
          <w:kern w:val="0"/>
          <w:sz w:val="40"/>
          <w:szCs w:val="40"/>
          <w:lang w:val="zh-CN" w:bidi="zh-CN"/>
        </w:rPr>
      </w:pPr>
    </w:p>
    <w:p>
      <w:pPr>
        <w:autoSpaceDE w:val="0"/>
        <w:autoSpaceDN w:val="0"/>
        <w:adjustRightInd w:val="0"/>
        <w:snapToGrid w:val="0"/>
        <w:spacing w:line="360" w:lineRule="auto"/>
        <w:ind w:firstLine="800" w:firstLineChars="200"/>
        <w:jc w:val="left"/>
        <w:rPr>
          <w:rFonts w:ascii="仿宋" w:hAnsi="仿宋" w:eastAsia="仿宋" w:cs="Noto Sans Mono CJK JP Regular"/>
          <w:color w:val="auto"/>
          <w:kern w:val="0"/>
          <w:sz w:val="40"/>
          <w:szCs w:val="40"/>
          <w:lang w:val="zh-CN" w:bidi="zh-CN"/>
        </w:rPr>
      </w:pPr>
    </w:p>
    <w:p>
      <w:pPr>
        <w:adjustRightInd w:val="0"/>
        <w:snapToGrid w:val="0"/>
        <w:spacing w:line="360" w:lineRule="auto"/>
        <w:jc w:val="center"/>
        <w:rPr>
          <w:rFonts w:hint="eastAsia" w:ascii="黑体" w:hAnsi="黑体" w:eastAsia="黑体" w:cs="黑体"/>
          <w:b/>
          <w:bCs w:val="0"/>
          <w:color w:val="auto"/>
          <w:sz w:val="40"/>
          <w:szCs w:val="40"/>
          <w:lang w:val="zh-CN"/>
        </w:rPr>
      </w:pPr>
      <w:r>
        <w:rPr>
          <w:rFonts w:hint="eastAsia" w:ascii="黑体" w:hAnsi="黑体" w:eastAsia="黑体" w:cs="黑体"/>
          <w:b/>
          <w:bCs w:val="0"/>
          <w:color w:val="auto"/>
          <w:sz w:val="40"/>
          <w:szCs w:val="40"/>
          <w:lang w:val="zh-CN"/>
        </w:rPr>
        <w:t>教务部</w:t>
      </w:r>
    </w:p>
    <w:p>
      <w:pPr>
        <w:rPr>
          <w:rFonts w:hint="eastAsia" w:ascii="宋体" w:hAnsi="宋体" w:eastAsia="宋体" w:cs="Times New Roman"/>
          <w:color w:val="auto"/>
          <w:sz w:val="32"/>
          <w:szCs w:val="32"/>
        </w:rPr>
      </w:pPr>
      <w:r>
        <w:rPr>
          <w:rFonts w:hint="eastAsia" w:ascii="仿宋" w:hAnsi="仿宋" w:eastAsia="仿宋" w:cs="Times New Roman"/>
          <w:color w:val="auto"/>
          <w:w w:val="95"/>
          <w:sz w:val="32"/>
          <w:szCs w:val="24"/>
        </w:rPr>
        <w:br w:type="page"/>
      </w:r>
    </w:p>
    <w:p>
      <w:pPr>
        <w:spacing w:before="0" w:beforeLines="0" w:after="0" w:afterLines="0" w:line="240" w:lineRule="auto"/>
        <w:ind w:left="0" w:leftChars="0" w:right="0" w:rightChars="0" w:firstLine="0" w:firstLineChars="0"/>
        <w:jc w:val="center"/>
        <w:rPr>
          <w:rFonts w:hint="eastAsia" w:ascii="黑体" w:hAnsi="黑体" w:eastAsia="黑体" w:cs="黑体"/>
          <w:color w:val="auto"/>
          <w:sz w:val="44"/>
          <w:szCs w:val="44"/>
        </w:rPr>
      </w:pPr>
      <w:r>
        <w:rPr>
          <w:rFonts w:hint="eastAsia" w:ascii="黑体" w:hAnsi="黑体" w:eastAsia="黑体" w:cs="黑体"/>
          <w:color w:val="auto"/>
          <w:sz w:val="44"/>
          <w:szCs w:val="44"/>
        </w:rPr>
        <w:t>目</w:t>
      </w:r>
      <w:r>
        <w:rPr>
          <w:rFonts w:hint="eastAsia" w:ascii="黑体" w:hAnsi="黑体" w:eastAsia="黑体" w:cs="黑体"/>
          <w:color w:val="auto"/>
          <w:sz w:val="44"/>
          <w:szCs w:val="44"/>
          <w:lang w:val="en-US" w:eastAsia="zh-CN"/>
        </w:rPr>
        <w:t xml:space="preserve"> </w:t>
      </w:r>
      <w:r>
        <w:rPr>
          <w:rFonts w:hint="eastAsia" w:ascii="黑体" w:hAnsi="黑体" w:eastAsia="黑体" w:cs="黑体"/>
          <w:color w:val="auto"/>
          <w:sz w:val="44"/>
          <w:szCs w:val="44"/>
        </w:rPr>
        <w:t>录</w:t>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color w:val="auto"/>
          <w:sz w:val="24"/>
        </w:rPr>
        <w:instrText xml:space="preserve">TOC \o "1-2" \h \u </w:instrText>
      </w:r>
      <w:r>
        <w:rPr>
          <w:rFonts w:eastAsia="仿宋"/>
          <w:color w:val="auto"/>
          <w:sz w:val="24"/>
        </w:rPr>
        <w:fldChar w:fldCharType="separate"/>
      </w:r>
      <w:r>
        <w:rPr>
          <w:rFonts w:hint="eastAsia" w:ascii="黑体" w:hAnsi="黑体" w:eastAsia="黑体" w:cs="黑体"/>
          <w:color w:val="auto"/>
          <w:sz w:val="24"/>
        </w:rPr>
        <w:fldChar w:fldCharType="begin"/>
      </w:r>
      <w:r>
        <w:rPr>
          <w:rFonts w:hint="eastAsia" w:ascii="黑体" w:hAnsi="黑体" w:eastAsia="黑体" w:cs="黑体"/>
          <w:sz w:val="24"/>
        </w:rPr>
        <w:instrText xml:space="preserve"> HYPERLINK \l _Toc5603 </w:instrText>
      </w:r>
      <w:r>
        <w:rPr>
          <w:rFonts w:hint="eastAsia" w:ascii="黑体" w:hAnsi="黑体" w:eastAsia="黑体" w:cs="黑体"/>
          <w:sz w:val="24"/>
        </w:rPr>
        <w:fldChar w:fldCharType="separate"/>
      </w:r>
      <w:r>
        <w:rPr>
          <w:rFonts w:hint="eastAsia" w:ascii="黑体" w:hAnsi="黑体" w:eastAsia="黑体" w:cs="黑体"/>
          <w:sz w:val="24"/>
        </w:rPr>
        <w:t>第一部分  教学组织与培养方式</w:t>
      </w:r>
      <w:r>
        <w:rPr>
          <w:rFonts w:hint="eastAsia" w:ascii="黑体" w:hAnsi="黑体" w:eastAsia="黑体" w:cs="黑体"/>
          <w:sz w:val="24"/>
        </w:rPr>
        <w:tab/>
      </w:r>
      <w:r>
        <w:rPr>
          <w:rFonts w:hint="eastAsia" w:ascii="黑体" w:hAnsi="黑体" w:eastAsia="黑体" w:cs="黑体"/>
          <w:sz w:val="24"/>
        </w:rPr>
        <w:fldChar w:fldCharType="begin"/>
      </w:r>
      <w:r>
        <w:rPr>
          <w:rFonts w:hint="eastAsia" w:ascii="黑体" w:hAnsi="黑体" w:eastAsia="黑体" w:cs="黑体"/>
          <w:sz w:val="24"/>
        </w:rPr>
        <w:instrText xml:space="preserve"> PAGEREF _Toc5603 </w:instrText>
      </w:r>
      <w:r>
        <w:rPr>
          <w:rFonts w:hint="eastAsia" w:ascii="黑体" w:hAnsi="黑体" w:eastAsia="黑体" w:cs="黑体"/>
          <w:sz w:val="24"/>
        </w:rPr>
        <w:fldChar w:fldCharType="separate"/>
      </w:r>
      <w:r>
        <w:rPr>
          <w:rFonts w:hint="eastAsia" w:ascii="黑体" w:hAnsi="黑体" w:eastAsia="黑体" w:cs="黑体"/>
          <w:sz w:val="24"/>
        </w:rPr>
        <w:t>4</w:t>
      </w:r>
      <w:r>
        <w:rPr>
          <w:rFonts w:hint="eastAsia" w:ascii="黑体" w:hAnsi="黑体" w:eastAsia="黑体" w:cs="黑体"/>
          <w:sz w:val="24"/>
        </w:rPr>
        <w:fldChar w:fldCharType="end"/>
      </w:r>
      <w:r>
        <w:rPr>
          <w:rFonts w:hint="eastAsia" w:ascii="黑体" w:hAnsi="黑体" w:eastAsia="黑体" w:cs="黑体"/>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_Toc6934 </w:instrText>
      </w:r>
      <w:r>
        <w:rPr>
          <w:rFonts w:eastAsia="仿宋"/>
          <w:sz w:val="24"/>
        </w:rPr>
        <w:fldChar w:fldCharType="separate"/>
      </w:r>
      <w:r>
        <w:rPr>
          <w:rFonts w:hint="eastAsia" w:eastAsia="仿宋"/>
          <w:sz w:val="24"/>
        </w:rPr>
        <w:t>学生</w:t>
      </w:r>
      <w:r>
        <w:rPr>
          <w:rFonts w:hint="eastAsia" w:eastAsia="仿宋"/>
          <w:sz w:val="24"/>
          <w:lang w:eastAsia="zh-CN"/>
        </w:rPr>
        <w:t>校本部集中</w:t>
      </w:r>
      <w:r>
        <w:rPr>
          <w:rFonts w:hint="eastAsia" w:eastAsia="仿宋"/>
          <w:sz w:val="24"/>
        </w:rPr>
        <w:t>就读</w:t>
      </w:r>
      <w:r>
        <w:rPr>
          <w:rFonts w:eastAsia="仿宋"/>
          <w:sz w:val="24"/>
        </w:rPr>
        <w:tab/>
      </w:r>
      <w:r>
        <w:rPr>
          <w:rFonts w:eastAsia="仿宋"/>
          <w:sz w:val="24"/>
        </w:rPr>
        <w:fldChar w:fldCharType="begin"/>
      </w:r>
      <w:r>
        <w:rPr>
          <w:rFonts w:eastAsia="仿宋"/>
          <w:sz w:val="24"/>
        </w:rPr>
        <w:instrText xml:space="preserve"> PAGEREF _Toc6934 </w:instrText>
      </w:r>
      <w:r>
        <w:rPr>
          <w:rFonts w:eastAsia="仿宋"/>
          <w:sz w:val="24"/>
        </w:rPr>
        <w:fldChar w:fldCharType="separate"/>
      </w:r>
      <w:r>
        <w:rPr>
          <w:rFonts w:eastAsia="仿宋"/>
          <w:sz w:val="24"/>
        </w:rPr>
        <w:t>4</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_Toc31455 </w:instrText>
      </w:r>
      <w:r>
        <w:rPr>
          <w:rFonts w:eastAsia="仿宋"/>
          <w:sz w:val="24"/>
        </w:rPr>
        <w:fldChar w:fldCharType="separate"/>
      </w:r>
      <w:r>
        <w:rPr>
          <w:rFonts w:hint="eastAsia" w:eastAsia="仿宋"/>
          <w:sz w:val="24"/>
        </w:rPr>
        <w:t>教学组织与培养方式</w:t>
      </w:r>
      <w:r>
        <w:rPr>
          <w:rFonts w:eastAsia="仿宋"/>
          <w:sz w:val="24"/>
        </w:rPr>
        <w:tab/>
      </w:r>
      <w:r>
        <w:rPr>
          <w:rFonts w:eastAsia="仿宋"/>
          <w:sz w:val="24"/>
        </w:rPr>
        <w:fldChar w:fldCharType="begin"/>
      </w:r>
      <w:r>
        <w:rPr>
          <w:rFonts w:eastAsia="仿宋"/>
          <w:sz w:val="24"/>
        </w:rPr>
        <w:instrText xml:space="preserve"> PAGEREF _Toc31455 </w:instrText>
      </w:r>
      <w:r>
        <w:rPr>
          <w:rFonts w:eastAsia="仿宋"/>
          <w:sz w:val="24"/>
        </w:rPr>
        <w:fldChar w:fldCharType="separate"/>
      </w:r>
      <w:r>
        <w:rPr>
          <w:rFonts w:eastAsia="仿宋"/>
          <w:sz w:val="24"/>
        </w:rPr>
        <w:t>4</w:t>
      </w:r>
      <w:r>
        <w:rPr>
          <w:rFonts w:eastAsia="仿宋"/>
          <w:sz w:val="24"/>
        </w:rPr>
        <w:fldChar w:fldCharType="end"/>
      </w:r>
      <w:r>
        <w:rPr>
          <w:rFonts w:eastAsia="仿宋"/>
          <w:color w:val="auto"/>
          <w:sz w:val="24"/>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bookmarkStart w:id="63" w:name="_GoBack"/>
      <w:r>
        <w:rPr>
          <w:rFonts w:eastAsia="仿宋"/>
          <w:color w:val="auto"/>
          <w:sz w:val="24"/>
        </w:rPr>
        <w:fldChar w:fldCharType="begin"/>
      </w:r>
      <w:r>
        <w:rPr>
          <w:rFonts w:eastAsia="仿宋"/>
          <w:sz w:val="24"/>
        </w:rPr>
        <w:instrText xml:space="preserve"> HYPERLINK \l _Toc10828 </w:instrText>
      </w:r>
      <w:r>
        <w:rPr>
          <w:rFonts w:eastAsia="仿宋"/>
          <w:sz w:val="24"/>
        </w:rPr>
        <w:fldChar w:fldCharType="separate"/>
      </w:r>
      <w:r>
        <w:rPr>
          <w:rFonts w:hint="eastAsia" w:ascii="黑体" w:hAnsi="黑体" w:eastAsia="黑体" w:cs="黑体"/>
          <w:color w:val="auto"/>
          <w:sz w:val="24"/>
          <w:lang w:eastAsia="zh-CN"/>
        </w:rPr>
        <w:t xml:space="preserve">第二部分  </w:t>
      </w:r>
      <w:r>
        <w:rPr>
          <w:rFonts w:hint="eastAsia" w:ascii="黑体" w:hAnsi="黑体" w:eastAsia="黑体" w:cs="黑体"/>
          <w:color w:val="auto"/>
          <w:sz w:val="24"/>
          <w:lang w:val="zh-CN" w:eastAsia="zh-CN"/>
        </w:rPr>
        <w:t>教育教学改革</w:t>
      </w:r>
      <w:r>
        <w:rPr>
          <w:rFonts w:eastAsia="仿宋"/>
          <w:sz w:val="24"/>
        </w:rPr>
        <w:tab/>
      </w:r>
      <w:r>
        <w:rPr>
          <w:rFonts w:eastAsia="仿宋"/>
          <w:sz w:val="24"/>
        </w:rPr>
        <w:fldChar w:fldCharType="begin"/>
      </w:r>
      <w:r>
        <w:rPr>
          <w:rFonts w:eastAsia="仿宋"/>
          <w:sz w:val="24"/>
        </w:rPr>
        <w:instrText xml:space="preserve"> PAGEREF _Toc10828 </w:instrText>
      </w:r>
      <w:r>
        <w:rPr>
          <w:rFonts w:eastAsia="仿宋"/>
          <w:sz w:val="24"/>
        </w:rPr>
        <w:fldChar w:fldCharType="separate"/>
      </w:r>
      <w:r>
        <w:rPr>
          <w:rFonts w:eastAsia="仿宋"/>
          <w:sz w:val="24"/>
        </w:rPr>
        <w:t>5</w:t>
      </w:r>
      <w:r>
        <w:rPr>
          <w:rFonts w:eastAsia="仿宋"/>
          <w:sz w:val="24"/>
        </w:rPr>
        <w:fldChar w:fldCharType="end"/>
      </w:r>
      <w:r>
        <w:rPr>
          <w:rFonts w:eastAsia="仿宋"/>
          <w:color w:val="auto"/>
          <w:sz w:val="24"/>
        </w:rPr>
        <w:fldChar w:fldCharType="end"/>
      </w:r>
    </w:p>
    <w:bookmarkEnd w:id="63"/>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_Toc6363 </w:instrText>
      </w:r>
      <w:r>
        <w:rPr>
          <w:rFonts w:eastAsia="仿宋"/>
          <w:sz w:val="24"/>
        </w:rPr>
        <w:fldChar w:fldCharType="separate"/>
      </w:r>
      <w:r>
        <w:rPr>
          <w:rFonts w:hint="eastAsia" w:eastAsia="仿宋"/>
          <w:sz w:val="24"/>
          <w:lang w:val="zh-CN"/>
        </w:rPr>
        <w:t>线上线下混合教学</w:t>
      </w:r>
      <w:r>
        <w:rPr>
          <w:rFonts w:eastAsia="仿宋"/>
          <w:sz w:val="24"/>
        </w:rPr>
        <w:tab/>
      </w:r>
      <w:r>
        <w:rPr>
          <w:rFonts w:eastAsia="仿宋"/>
          <w:sz w:val="24"/>
        </w:rPr>
        <w:fldChar w:fldCharType="begin"/>
      </w:r>
      <w:r>
        <w:rPr>
          <w:rFonts w:eastAsia="仿宋"/>
          <w:sz w:val="24"/>
        </w:rPr>
        <w:instrText xml:space="preserve"> PAGEREF _Toc6363 </w:instrText>
      </w:r>
      <w:r>
        <w:rPr>
          <w:rFonts w:eastAsia="仿宋"/>
          <w:sz w:val="24"/>
        </w:rPr>
        <w:fldChar w:fldCharType="separate"/>
      </w:r>
      <w:r>
        <w:rPr>
          <w:rFonts w:eastAsia="仿宋"/>
          <w:sz w:val="24"/>
        </w:rPr>
        <w:t>5</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_Toc23323 </w:instrText>
      </w:r>
      <w:r>
        <w:rPr>
          <w:rFonts w:eastAsia="仿宋"/>
          <w:sz w:val="24"/>
        </w:rPr>
        <w:fldChar w:fldCharType="separate"/>
      </w:r>
      <w:r>
        <w:rPr>
          <w:rFonts w:hint="eastAsia" w:eastAsia="仿宋"/>
          <w:sz w:val="24"/>
          <w:lang w:val="zh-CN"/>
        </w:rPr>
        <w:t>学习成果认定与学分转换</w:t>
      </w:r>
      <w:r>
        <w:rPr>
          <w:rFonts w:eastAsia="仿宋"/>
          <w:sz w:val="24"/>
        </w:rPr>
        <w:tab/>
      </w:r>
      <w:r>
        <w:rPr>
          <w:rFonts w:eastAsia="仿宋"/>
          <w:sz w:val="24"/>
        </w:rPr>
        <w:fldChar w:fldCharType="begin"/>
      </w:r>
      <w:r>
        <w:rPr>
          <w:rFonts w:eastAsia="仿宋"/>
          <w:sz w:val="24"/>
        </w:rPr>
        <w:instrText xml:space="preserve"> PAGEREF _Toc23323 </w:instrText>
      </w:r>
      <w:r>
        <w:rPr>
          <w:rFonts w:eastAsia="仿宋"/>
          <w:sz w:val="24"/>
        </w:rPr>
        <w:fldChar w:fldCharType="separate"/>
      </w:r>
      <w:r>
        <w:rPr>
          <w:rFonts w:eastAsia="仿宋"/>
          <w:sz w:val="24"/>
        </w:rPr>
        <w:t>5</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_Toc7491 </w:instrText>
      </w:r>
      <w:r>
        <w:rPr>
          <w:rFonts w:eastAsia="仿宋"/>
          <w:sz w:val="24"/>
        </w:rPr>
        <w:fldChar w:fldCharType="separate"/>
      </w:r>
      <w:r>
        <w:rPr>
          <w:rFonts w:hint="eastAsia" w:eastAsia="仿宋"/>
          <w:sz w:val="24"/>
        </w:rPr>
        <w:t>学生学习评价</w:t>
      </w:r>
      <w:r>
        <w:rPr>
          <w:rFonts w:eastAsia="仿宋"/>
          <w:sz w:val="24"/>
        </w:rPr>
        <w:tab/>
      </w:r>
      <w:r>
        <w:rPr>
          <w:rFonts w:eastAsia="仿宋"/>
          <w:sz w:val="24"/>
        </w:rPr>
        <w:fldChar w:fldCharType="begin"/>
      </w:r>
      <w:r>
        <w:rPr>
          <w:rFonts w:eastAsia="仿宋"/>
          <w:sz w:val="24"/>
        </w:rPr>
        <w:instrText xml:space="preserve"> PAGEREF _Toc7491 </w:instrText>
      </w:r>
      <w:r>
        <w:rPr>
          <w:rFonts w:eastAsia="仿宋"/>
          <w:sz w:val="24"/>
        </w:rPr>
        <w:fldChar w:fldCharType="separate"/>
      </w:r>
      <w:r>
        <w:rPr>
          <w:rFonts w:eastAsia="仿宋"/>
          <w:sz w:val="24"/>
        </w:rPr>
        <w:t>6</w:t>
      </w:r>
      <w:r>
        <w:rPr>
          <w:rFonts w:eastAsia="仿宋"/>
          <w:sz w:val="24"/>
        </w:rPr>
        <w:fldChar w:fldCharType="end"/>
      </w:r>
      <w:r>
        <w:rPr>
          <w:rFonts w:eastAsia="仿宋"/>
          <w:color w:val="auto"/>
          <w:sz w:val="24"/>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_Toc25599 </w:instrText>
      </w:r>
      <w:r>
        <w:rPr>
          <w:rFonts w:eastAsia="仿宋"/>
          <w:sz w:val="24"/>
        </w:rPr>
        <w:fldChar w:fldCharType="separate"/>
      </w:r>
      <w:r>
        <w:rPr>
          <w:rFonts w:hint="eastAsia" w:ascii="黑体" w:hAnsi="黑体" w:eastAsia="黑体" w:cs="黑体"/>
          <w:color w:val="auto"/>
          <w:sz w:val="24"/>
        </w:rPr>
        <w:t>第三部分 教学常规管理制度</w:t>
      </w:r>
      <w:r>
        <w:rPr>
          <w:rFonts w:eastAsia="仿宋"/>
          <w:sz w:val="24"/>
        </w:rPr>
        <w:tab/>
      </w:r>
      <w:r>
        <w:rPr>
          <w:rFonts w:eastAsia="仿宋"/>
          <w:sz w:val="24"/>
        </w:rPr>
        <w:fldChar w:fldCharType="begin"/>
      </w:r>
      <w:r>
        <w:rPr>
          <w:rFonts w:eastAsia="仿宋"/>
          <w:sz w:val="24"/>
        </w:rPr>
        <w:instrText xml:space="preserve"> PAGEREF _Toc25599 </w:instrText>
      </w:r>
      <w:r>
        <w:rPr>
          <w:rFonts w:eastAsia="仿宋"/>
          <w:sz w:val="24"/>
        </w:rPr>
        <w:fldChar w:fldCharType="separate"/>
      </w:r>
      <w:r>
        <w:rPr>
          <w:rFonts w:eastAsia="仿宋"/>
          <w:sz w:val="24"/>
        </w:rPr>
        <w:t>8</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_Toc12384 </w:instrText>
      </w:r>
      <w:r>
        <w:rPr>
          <w:rFonts w:eastAsia="仿宋"/>
          <w:sz w:val="24"/>
        </w:rPr>
        <w:fldChar w:fldCharType="separate"/>
      </w:r>
      <w:r>
        <w:rPr>
          <w:rFonts w:hint="eastAsia" w:eastAsia="仿宋"/>
          <w:sz w:val="24"/>
        </w:rPr>
        <w:t>教学指导委员会工作制度</w:t>
      </w:r>
      <w:r>
        <w:rPr>
          <w:rFonts w:eastAsia="仿宋"/>
          <w:sz w:val="24"/>
        </w:rPr>
        <w:tab/>
      </w:r>
      <w:r>
        <w:rPr>
          <w:rFonts w:eastAsia="仿宋"/>
          <w:sz w:val="24"/>
        </w:rPr>
        <w:fldChar w:fldCharType="begin"/>
      </w:r>
      <w:r>
        <w:rPr>
          <w:rFonts w:eastAsia="仿宋"/>
          <w:sz w:val="24"/>
        </w:rPr>
        <w:instrText xml:space="preserve"> PAGEREF _Toc12384 </w:instrText>
      </w:r>
      <w:r>
        <w:rPr>
          <w:rFonts w:eastAsia="仿宋"/>
          <w:sz w:val="24"/>
        </w:rPr>
        <w:fldChar w:fldCharType="separate"/>
      </w:r>
      <w:r>
        <w:rPr>
          <w:rFonts w:eastAsia="仿宋"/>
          <w:sz w:val="24"/>
        </w:rPr>
        <w:t>8</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_Toc20724 </w:instrText>
      </w:r>
      <w:r>
        <w:rPr>
          <w:rFonts w:eastAsia="仿宋"/>
          <w:sz w:val="24"/>
        </w:rPr>
        <w:fldChar w:fldCharType="separate"/>
      </w:r>
      <w:r>
        <w:rPr>
          <w:rFonts w:hint="eastAsia" w:eastAsia="仿宋"/>
          <w:sz w:val="24"/>
        </w:rPr>
        <w:t>教学工作例会制度</w:t>
      </w:r>
      <w:r>
        <w:rPr>
          <w:rFonts w:eastAsia="仿宋"/>
          <w:sz w:val="24"/>
        </w:rPr>
        <w:tab/>
      </w:r>
      <w:r>
        <w:rPr>
          <w:rFonts w:eastAsia="仿宋"/>
          <w:sz w:val="24"/>
        </w:rPr>
        <w:fldChar w:fldCharType="begin"/>
      </w:r>
      <w:r>
        <w:rPr>
          <w:rFonts w:eastAsia="仿宋"/>
          <w:sz w:val="24"/>
        </w:rPr>
        <w:instrText xml:space="preserve"> PAGEREF _Toc20724 </w:instrText>
      </w:r>
      <w:r>
        <w:rPr>
          <w:rFonts w:eastAsia="仿宋"/>
          <w:sz w:val="24"/>
        </w:rPr>
        <w:fldChar w:fldCharType="separate"/>
      </w:r>
      <w:r>
        <w:rPr>
          <w:rFonts w:eastAsia="仿宋"/>
          <w:sz w:val="24"/>
        </w:rPr>
        <w:t>11</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_Toc26563 </w:instrText>
      </w:r>
      <w:r>
        <w:rPr>
          <w:rFonts w:eastAsia="仿宋"/>
          <w:sz w:val="24"/>
        </w:rPr>
        <w:fldChar w:fldCharType="separate"/>
      </w:r>
      <w:r>
        <w:rPr>
          <w:rFonts w:hint="eastAsia" w:eastAsia="仿宋"/>
          <w:sz w:val="24"/>
          <w:lang w:val="en-US" w:eastAsia="zh-CN"/>
        </w:rPr>
        <w:t>课堂教学质量检查与评价方案</w:t>
      </w:r>
      <w:r>
        <w:rPr>
          <w:rFonts w:eastAsia="仿宋"/>
          <w:sz w:val="24"/>
        </w:rPr>
        <w:tab/>
      </w:r>
      <w:r>
        <w:rPr>
          <w:rFonts w:eastAsia="仿宋"/>
          <w:sz w:val="24"/>
        </w:rPr>
        <w:fldChar w:fldCharType="begin"/>
      </w:r>
      <w:r>
        <w:rPr>
          <w:rFonts w:eastAsia="仿宋"/>
          <w:sz w:val="24"/>
        </w:rPr>
        <w:instrText xml:space="preserve"> PAGEREF _Toc26563 </w:instrText>
      </w:r>
      <w:r>
        <w:rPr>
          <w:rFonts w:eastAsia="仿宋"/>
          <w:sz w:val="24"/>
        </w:rPr>
        <w:fldChar w:fldCharType="separate"/>
      </w:r>
      <w:r>
        <w:rPr>
          <w:rFonts w:eastAsia="仿宋"/>
          <w:sz w:val="24"/>
        </w:rPr>
        <w:t>13</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_Toc23714 </w:instrText>
      </w:r>
      <w:r>
        <w:rPr>
          <w:rFonts w:eastAsia="仿宋"/>
          <w:sz w:val="24"/>
        </w:rPr>
        <w:fldChar w:fldCharType="separate"/>
      </w:r>
      <w:r>
        <w:rPr>
          <w:rFonts w:hint="eastAsia" w:eastAsia="仿宋"/>
          <w:sz w:val="24"/>
        </w:rPr>
        <w:t>教学检查制度</w:t>
      </w:r>
      <w:r>
        <w:rPr>
          <w:rFonts w:eastAsia="仿宋"/>
          <w:sz w:val="24"/>
        </w:rPr>
        <w:tab/>
      </w:r>
      <w:r>
        <w:rPr>
          <w:rFonts w:eastAsia="仿宋"/>
          <w:sz w:val="24"/>
        </w:rPr>
        <w:fldChar w:fldCharType="begin"/>
      </w:r>
      <w:r>
        <w:rPr>
          <w:rFonts w:eastAsia="仿宋"/>
          <w:sz w:val="24"/>
        </w:rPr>
        <w:instrText xml:space="preserve"> PAGEREF _Toc23714 </w:instrText>
      </w:r>
      <w:r>
        <w:rPr>
          <w:rFonts w:eastAsia="仿宋"/>
          <w:sz w:val="24"/>
        </w:rPr>
        <w:fldChar w:fldCharType="separate"/>
      </w:r>
      <w:r>
        <w:rPr>
          <w:rFonts w:eastAsia="仿宋"/>
          <w:sz w:val="24"/>
        </w:rPr>
        <w:t>17</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_Toc10576 </w:instrText>
      </w:r>
      <w:r>
        <w:rPr>
          <w:rFonts w:eastAsia="仿宋"/>
          <w:sz w:val="24"/>
        </w:rPr>
        <w:fldChar w:fldCharType="separate"/>
      </w:r>
      <w:r>
        <w:rPr>
          <w:rFonts w:hint="eastAsia" w:eastAsia="仿宋"/>
          <w:sz w:val="24"/>
        </w:rPr>
        <w:t>集体备课管理制度</w:t>
      </w:r>
      <w:r>
        <w:rPr>
          <w:rFonts w:eastAsia="仿宋"/>
          <w:sz w:val="24"/>
        </w:rPr>
        <w:tab/>
      </w:r>
      <w:r>
        <w:rPr>
          <w:rFonts w:eastAsia="仿宋"/>
          <w:sz w:val="24"/>
        </w:rPr>
        <w:fldChar w:fldCharType="begin"/>
      </w:r>
      <w:r>
        <w:rPr>
          <w:rFonts w:eastAsia="仿宋"/>
          <w:sz w:val="24"/>
        </w:rPr>
        <w:instrText xml:space="preserve"> PAGEREF _Toc10576 </w:instrText>
      </w:r>
      <w:r>
        <w:rPr>
          <w:rFonts w:eastAsia="仿宋"/>
          <w:sz w:val="24"/>
        </w:rPr>
        <w:fldChar w:fldCharType="separate"/>
      </w:r>
      <w:r>
        <w:rPr>
          <w:rFonts w:eastAsia="仿宋"/>
          <w:sz w:val="24"/>
        </w:rPr>
        <w:t>20</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_Toc31699 </w:instrText>
      </w:r>
      <w:r>
        <w:rPr>
          <w:rFonts w:eastAsia="仿宋"/>
          <w:sz w:val="24"/>
        </w:rPr>
        <w:fldChar w:fldCharType="separate"/>
      </w:r>
      <w:r>
        <w:rPr>
          <w:rFonts w:hint="eastAsia" w:eastAsia="仿宋"/>
          <w:sz w:val="24"/>
        </w:rPr>
        <w:t>教案规范</w:t>
      </w:r>
      <w:r>
        <w:rPr>
          <w:rFonts w:eastAsia="仿宋"/>
          <w:sz w:val="24"/>
        </w:rPr>
        <w:tab/>
      </w:r>
      <w:r>
        <w:rPr>
          <w:rFonts w:eastAsia="仿宋"/>
          <w:sz w:val="24"/>
        </w:rPr>
        <w:fldChar w:fldCharType="begin"/>
      </w:r>
      <w:r>
        <w:rPr>
          <w:rFonts w:eastAsia="仿宋"/>
          <w:sz w:val="24"/>
        </w:rPr>
        <w:instrText xml:space="preserve"> PAGEREF _Toc31699 </w:instrText>
      </w:r>
      <w:r>
        <w:rPr>
          <w:rFonts w:eastAsia="仿宋"/>
          <w:sz w:val="24"/>
        </w:rPr>
        <w:fldChar w:fldCharType="separate"/>
      </w:r>
      <w:r>
        <w:rPr>
          <w:rFonts w:eastAsia="仿宋"/>
          <w:sz w:val="24"/>
        </w:rPr>
        <w:t>22</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_Toc27478 </w:instrText>
      </w:r>
      <w:r>
        <w:rPr>
          <w:rFonts w:eastAsia="仿宋"/>
          <w:sz w:val="24"/>
        </w:rPr>
        <w:fldChar w:fldCharType="separate"/>
      </w:r>
      <w:r>
        <w:rPr>
          <w:rFonts w:hint="eastAsia" w:eastAsia="仿宋"/>
          <w:sz w:val="24"/>
        </w:rPr>
        <w:t>调课、停课、变更教师审批制度</w:t>
      </w:r>
      <w:r>
        <w:rPr>
          <w:rFonts w:eastAsia="仿宋"/>
          <w:sz w:val="24"/>
        </w:rPr>
        <w:tab/>
      </w:r>
      <w:r>
        <w:rPr>
          <w:rFonts w:eastAsia="仿宋"/>
          <w:sz w:val="24"/>
        </w:rPr>
        <w:fldChar w:fldCharType="begin"/>
      </w:r>
      <w:r>
        <w:rPr>
          <w:rFonts w:eastAsia="仿宋"/>
          <w:sz w:val="24"/>
        </w:rPr>
        <w:instrText xml:space="preserve"> PAGEREF _Toc27478 </w:instrText>
      </w:r>
      <w:r>
        <w:rPr>
          <w:rFonts w:eastAsia="仿宋"/>
          <w:sz w:val="24"/>
        </w:rPr>
        <w:fldChar w:fldCharType="separate"/>
      </w:r>
      <w:r>
        <w:rPr>
          <w:rFonts w:eastAsia="仿宋"/>
          <w:sz w:val="24"/>
        </w:rPr>
        <w:t>24</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_Toc30107 </w:instrText>
      </w:r>
      <w:r>
        <w:rPr>
          <w:rFonts w:eastAsia="仿宋"/>
          <w:sz w:val="24"/>
        </w:rPr>
        <w:fldChar w:fldCharType="separate"/>
      </w:r>
      <w:r>
        <w:rPr>
          <w:rFonts w:hint="eastAsia" w:eastAsia="仿宋"/>
          <w:sz w:val="24"/>
        </w:rPr>
        <w:t>学生院外实践教学活动安全管理制度</w:t>
      </w:r>
      <w:r>
        <w:rPr>
          <w:rFonts w:eastAsia="仿宋"/>
          <w:sz w:val="24"/>
        </w:rPr>
        <w:tab/>
      </w:r>
      <w:r>
        <w:rPr>
          <w:rFonts w:eastAsia="仿宋"/>
          <w:sz w:val="24"/>
        </w:rPr>
        <w:fldChar w:fldCharType="begin"/>
      </w:r>
      <w:r>
        <w:rPr>
          <w:rFonts w:eastAsia="仿宋"/>
          <w:sz w:val="24"/>
        </w:rPr>
        <w:instrText xml:space="preserve"> PAGEREF _Toc30107 </w:instrText>
      </w:r>
      <w:r>
        <w:rPr>
          <w:rFonts w:eastAsia="仿宋"/>
          <w:sz w:val="24"/>
        </w:rPr>
        <w:fldChar w:fldCharType="separate"/>
      </w:r>
      <w:r>
        <w:rPr>
          <w:rFonts w:eastAsia="仿宋"/>
          <w:sz w:val="24"/>
        </w:rPr>
        <w:t>26</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_Toc25228 </w:instrText>
      </w:r>
      <w:r>
        <w:rPr>
          <w:rFonts w:eastAsia="仿宋"/>
          <w:sz w:val="24"/>
        </w:rPr>
        <w:fldChar w:fldCharType="separate"/>
      </w:r>
      <w:r>
        <w:rPr>
          <w:rFonts w:hint="eastAsia" w:eastAsia="仿宋"/>
          <w:sz w:val="24"/>
        </w:rPr>
        <w:t>教学事故（差错）认定和处理规定</w:t>
      </w:r>
      <w:r>
        <w:rPr>
          <w:rFonts w:eastAsia="仿宋"/>
          <w:sz w:val="24"/>
        </w:rPr>
        <w:tab/>
      </w:r>
      <w:r>
        <w:rPr>
          <w:rFonts w:eastAsia="仿宋"/>
          <w:sz w:val="24"/>
        </w:rPr>
        <w:fldChar w:fldCharType="begin"/>
      </w:r>
      <w:r>
        <w:rPr>
          <w:rFonts w:eastAsia="仿宋"/>
          <w:sz w:val="24"/>
        </w:rPr>
        <w:instrText xml:space="preserve"> PAGEREF _Toc25228 </w:instrText>
      </w:r>
      <w:r>
        <w:rPr>
          <w:rFonts w:eastAsia="仿宋"/>
          <w:sz w:val="24"/>
        </w:rPr>
        <w:fldChar w:fldCharType="separate"/>
      </w:r>
      <w:r>
        <w:rPr>
          <w:rFonts w:eastAsia="仿宋"/>
          <w:sz w:val="24"/>
        </w:rPr>
        <w:t>29</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_Toc30185 </w:instrText>
      </w:r>
      <w:r>
        <w:rPr>
          <w:rFonts w:eastAsia="仿宋"/>
          <w:sz w:val="24"/>
        </w:rPr>
        <w:fldChar w:fldCharType="separate"/>
      </w:r>
      <w:r>
        <w:rPr>
          <w:rFonts w:hint="eastAsia" w:eastAsia="仿宋"/>
          <w:sz w:val="24"/>
        </w:rPr>
        <w:t>教师职业技能竞赛管理制度</w:t>
      </w:r>
      <w:r>
        <w:rPr>
          <w:rFonts w:eastAsia="仿宋"/>
          <w:sz w:val="24"/>
        </w:rPr>
        <w:tab/>
      </w:r>
      <w:r>
        <w:rPr>
          <w:rFonts w:eastAsia="仿宋"/>
          <w:sz w:val="24"/>
        </w:rPr>
        <w:fldChar w:fldCharType="begin"/>
      </w:r>
      <w:r>
        <w:rPr>
          <w:rFonts w:eastAsia="仿宋"/>
          <w:sz w:val="24"/>
        </w:rPr>
        <w:instrText xml:space="preserve"> PAGEREF _Toc30185 </w:instrText>
      </w:r>
      <w:r>
        <w:rPr>
          <w:rFonts w:eastAsia="仿宋"/>
          <w:sz w:val="24"/>
        </w:rPr>
        <w:fldChar w:fldCharType="separate"/>
      </w:r>
      <w:r>
        <w:rPr>
          <w:rFonts w:eastAsia="仿宋"/>
          <w:sz w:val="24"/>
        </w:rPr>
        <w:t>36</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_Toc29944 </w:instrText>
      </w:r>
      <w:r>
        <w:rPr>
          <w:rFonts w:eastAsia="仿宋"/>
          <w:sz w:val="24"/>
        </w:rPr>
        <w:fldChar w:fldCharType="separate"/>
      </w:r>
      <w:r>
        <w:rPr>
          <w:rFonts w:hint="eastAsia" w:eastAsia="仿宋"/>
          <w:sz w:val="24"/>
        </w:rPr>
        <w:t>学生专业技能竞赛管理制度</w:t>
      </w:r>
      <w:r>
        <w:rPr>
          <w:rFonts w:eastAsia="仿宋"/>
          <w:sz w:val="24"/>
        </w:rPr>
        <w:tab/>
      </w:r>
      <w:r>
        <w:rPr>
          <w:rFonts w:eastAsia="仿宋"/>
          <w:sz w:val="24"/>
        </w:rPr>
        <w:fldChar w:fldCharType="begin"/>
      </w:r>
      <w:r>
        <w:rPr>
          <w:rFonts w:eastAsia="仿宋"/>
          <w:sz w:val="24"/>
        </w:rPr>
        <w:instrText xml:space="preserve"> PAGEREF _Toc29944 </w:instrText>
      </w:r>
      <w:r>
        <w:rPr>
          <w:rFonts w:eastAsia="仿宋"/>
          <w:sz w:val="24"/>
        </w:rPr>
        <w:fldChar w:fldCharType="separate"/>
      </w:r>
      <w:r>
        <w:rPr>
          <w:rFonts w:eastAsia="仿宋"/>
          <w:sz w:val="24"/>
        </w:rPr>
        <w:t>38</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_Toc13641 </w:instrText>
      </w:r>
      <w:r>
        <w:rPr>
          <w:rFonts w:eastAsia="仿宋"/>
          <w:sz w:val="24"/>
        </w:rPr>
        <w:fldChar w:fldCharType="separate"/>
      </w:r>
      <w:r>
        <w:rPr>
          <w:rFonts w:hint="eastAsia" w:eastAsia="仿宋"/>
          <w:sz w:val="24"/>
        </w:rPr>
        <w:t>教室管理办法</w:t>
      </w:r>
      <w:r>
        <w:rPr>
          <w:rFonts w:eastAsia="仿宋"/>
          <w:sz w:val="24"/>
        </w:rPr>
        <w:tab/>
      </w:r>
      <w:r>
        <w:rPr>
          <w:rFonts w:eastAsia="仿宋"/>
          <w:sz w:val="24"/>
        </w:rPr>
        <w:fldChar w:fldCharType="begin"/>
      </w:r>
      <w:r>
        <w:rPr>
          <w:rFonts w:eastAsia="仿宋"/>
          <w:sz w:val="24"/>
        </w:rPr>
        <w:instrText xml:space="preserve"> PAGEREF _Toc13641 </w:instrText>
      </w:r>
      <w:r>
        <w:rPr>
          <w:rFonts w:eastAsia="仿宋"/>
          <w:sz w:val="24"/>
        </w:rPr>
        <w:fldChar w:fldCharType="separate"/>
      </w:r>
      <w:r>
        <w:rPr>
          <w:rFonts w:eastAsia="仿宋"/>
          <w:sz w:val="24"/>
        </w:rPr>
        <w:t>41</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_Toc16647 </w:instrText>
      </w:r>
      <w:r>
        <w:rPr>
          <w:rFonts w:eastAsia="仿宋"/>
          <w:sz w:val="24"/>
        </w:rPr>
        <w:fldChar w:fldCharType="separate"/>
      </w:r>
      <w:r>
        <w:rPr>
          <w:rFonts w:hint="eastAsia" w:eastAsia="仿宋"/>
          <w:sz w:val="24"/>
        </w:rPr>
        <w:t>教材管理工作规定</w:t>
      </w:r>
      <w:r>
        <w:rPr>
          <w:rFonts w:eastAsia="仿宋"/>
          <w:sz w:val="24"/>
        </w:rPr>
        <w:tab/>
      </w:r>
      <w:r>
        <w:rPr>
          <w:rFonts w:eastAsia="仿宋"/>
          <w:sz w:val="24"/>
        </w:rPr>
        <w:fldChar w:fldCharType="begin"/>
      </w:r>
      <w:r>
        <w:rPr>
          <w:rFonts w:eastAsia="仿宋"/>
          <w:sz w:val="24"/>
        </w:rPr>
        <w:instrText xml:space="preserve"> PAGEREF _Toc16647 </w:instrText>
      </w:r>
      <w:r>
        <w:rPr>
          <w:rFonts w:eastAsia="仿宋"/>
          <w:sz w:val="24"/>
        </w:rPr>
        <w:fldChar w:fldCharType="separate"/>
      </w:r>
      <w:r>
        <w:rPr>
          <w:rFonts w:eastAsia="仿宋"/>
          <w:sz w:val="24"/>
        </w:rPr>
        <w:t>42</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_Toc26667 </w:instrText>
      </w:r>
      <w:r>
        <w:rPr>
          <w:rFonts w:eastAsia="仿宋"/>
          <w:sz w:val="24"/>
        </w:rPr>
        <w:fldChar w:fldCharType="separate"/>
      </w:r>
      <w:r>
        <w:rPr>
          <w:rFonts w:hint="eastAsia" w:eastAsia="仿宋"/>
          <w:sz w:val="24"/>
        </w:rPr>
        <w:t>专业建设管理办法</w:t>
      </w:r>
      <w:r>
        <w:rPr>
          <w:rFonts w:eastAsia="仿宋"/>
          <w:sz w:val="24"/>
        </w:rPr>
        <w:tab/>
      </w:r>
      <w:r>
        <w:rPr>
          <w:rFonts w:eastAsia="仿宋"/>
          <w:sz w:val="24"/>
        </w:rPr>
        <w:fldChar w:fldCharType="begin"/>
      </w:r>
      <w:r>
        <w:rPr>
          <w:rFonts w:eastAsia="仿宋"/>
          <w:sz w:val="24"/>
        </w:rPr>
        <w:instrText xml:space="preserve"> PAGEREF _Toc26667 </w:instrText>
      </w:r>
      <w:r>
        <w:rPr>
          <w:rFonts w:eastAsia="仿宋"/>
          <w:sz w:val="24"/>
        </w:rPr>
        <w:fldChar w:fldCharType="separate"/>
      </w:r>
      <w:r>
        <w:rPr>
          <w:rFonts w:eastAsia="仿宋"/>
          <w:sz w:val="24"/>
        </w:rPr>
        <w:t>44</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_Toc16986 </w:instrText>
      </w:r>
      <w:r>
        <w:rPr>
          <w:rFonts w:eastAsia="仿宋"/>
          <w:sz w:val="24"/>
        </w:rPr>
        <w:fldChar w:fldCharType="separate"/>
      </w:r>
      <w:r>
        <w:rPr>
          <w:rFonts w:hint="eastAsia" w:eastAsia="仿宋"/>
          <w:sz w:val="24"/>
        </w:rPr>
        <w:t>专业建设指导委员会工作制度</w:t>
      </w:r>
      <w:r>
        <w:rPr>
          <w:rFonts w:eastAsia="仿宋"/>
          <w:sz w:val="24"/>
        </w:rPr>
        <w:tab/>
      </w:r>
      <w:r>
        <w:rPr>
          <w:rFonts w:eastAsia="仿宋"/>
          <w:sz w:val="24"/>
        </w:rPr>
        <w:fldChar w:fldCharType="begin"/>
      </w:r>
      <w:r>
        <w:rPr>
          <w:rFonts w:eastAsia="仿宋"/>
          <w:sz w:val="24"/>
        </w:rPr>
        <w:instrText xml:space="preserve"> PAGEREF _Toc16986 </w:instrText>
      </w:r>
      <w:r>
        <w:rPr>
          <w:rFonts w:eastAsia="仿宋"/>
          <w:sz w:val="24"/>
        </w:rPr>
        <w:fldChar w:fldCharType="separate"/>
      </w:r>
      <w:r>
        <w:rPr>
          <w:rFonts w:eastAsia="仿宋"/>
          <w:sz w:val="24"/>
        </w:rPr>
        <w:t>48</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_Toc30952 </w:instrText>
      </w:r>
      <w:r>
        <w:rPr>
          <w:rFonts w:eastAsia="仿宋"/>
          <w:sz w:val="24"/>
        </w:rPr>
        <w:fldChar w:fldCharType="separate"/>
      </w:r>
      <w:r>
        <w:rPr>
          <w:rFonts w:hint="eastAsia" w:eastAsia="仿宋"/>
          <w:sz w:val="24"/>
        </w:rPr>
        <w:t>人才培养方案制（修）订与实施办法</w:t>
      </w:r>
      <w:r>
        <w:rPr>
          <w:rFonts w:eastAsia="仿宋"/>
          <w:sz w:val="24"/>
        </w:rPr>
        <w:tab/>
      </w:r>
      <w:r>
        <w:rPr>
          <w:rFonts w:eastAsia="仿宋"/>
          <w:sz w:val="24"/>
        </w:rPr>
        <w:fldChar w:fldCharType="begin"/>
      </w:r>
      <w:r>
        <w:rPr>
          <w:rFonts w:eastAsia="仿宋"/>
          <w:sz w:val="24"/>
        </w:rPr>
        <w:instrText xml:space="preserve"> PAGEREF _Toc30952 </w:instrText>
      </w:r>
      <w:r>
        <w:rPr>
          <w:rFonts w:eastAsia="仿宋"/>
          <w:sz w:val="24"/>
        </w:rPr>
        <w:fldChar w:fldCharType="separate"/>
      </w:r>
      <w:r>
        <w:rPr>
          <w:rFonts w:eastAsia="仿宋"/>
          <w:sz w:val="24"/>
        </w:rPr>
        <w:t>50</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_Toc10780 </w:instrText>
      </w:r>
      <w:r>
        <w:rPr>
          <w:rFonts w:eastAsia="仿宋"/>
          <w:sz w:val="24"/>
        </w:rPr>
        <w:fldChar w:fldCharType="separate"/>
      </w:r>
      <w:r>
        <w:rPr>
          <w:rFonts w:hint="eastAsia" w:eastAsia="仿宋"/>
          <w:sz w:val="24"/>
        </w:rPr>
        <w:t>制（修）</w:t>
      </w:r>
      <w:r>
        <w:rPr>
          <w:rFonts w:eastAsia="仿宋"/>
          <w:sz w:val="24"/>
        </w:rPr>
        <w:t xml:space="preserve"> </w:t>
      </w:r>
      <w:r>
        <w:rPr>
          <w:rFonts w:hint="eastAsia" w:eastAsia="仿宋"/>
          <w:sz w:val="24"/>
        </w:rPr>
        <w:t>订</w:t>
      </w:r>
      <w:r>
        <w:rPr>
          <w:rFonts w:hint="eastAsia" w:eastAsia="仿宋"/>
          <w:sz w:val="24"/>
          <w:lang w:eastAsia="zh-CN"/>
        </w:rPr>
        <w:t xml:space="preserve"> 课程标准</w:t>
      </w:r>
      <w:r>
        <w:rPr>
          <w:rFonts w:hint="eastAsia" w:eastAsia="仿宋"/>
          <w:sz w:val="24"/>
        </w:rPr>
        <w:t>的指导性意见</w:t>
      </w:r>
      <w:r>
        <w:rPr>
          <w:rFonts w:eastAsia="仿宋"/>
          <w:sz w:val="24"/>
        </w:rPr>
        <w:tab/>
      </w:r>
      <w:r>
        <w:rPr>
          <w:rFonts w:eastAsia="仿宋"/>
          <w:sz w:val="24"/>
        </w:rPr>
        <w:fldChar w:fldCharType="begin"/>
      </w:r>
      <w:r>
        <w:rPr>
          <w:rFonts w:eastAsia="仿宋"/>
          <w:sz w:val="24"/>
        </w:rPr>
        <w:instrText xml:space="preserve"> PAGEREF _Toc10780 </w:instrText>
      </w:r>
      <w:r>
        <w:rPr>
          <w:rFonts w:eastAsia="仿宋"/>
          <w:sz w:val="24"/>
        </w:rPr>
        <w:fldChar w:fldCharType="separate"/>
      </w:r>
      <w:r>
        <w:rPr>
          <w:rFonts w:eastAsia="仿宋"/>
          <w:sz w:val="24"/>
        </w:rPr>
        <w:t>59</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_Toc28376 </w:instrText>
      </w:r>
      <w:r>
        <w:rPr>
          <w:rFonts w:eastAsia="仿宋"/>
          <w:sz w:val="24"/>
        </w:rPr>
        <w:fldChar w:fldCharType="separate"/>
      </w:r>
      <w:r>
        <w:rPr>
          <w:rFonts w:hint="eastAsia" w:eastAsia="仿宋"/>
          <w:sz w:val="24"/>
        </w:rPr>
        <w:t>课程建设管理办法</w:t>
      </w:r>
      <w:r>
        <w:rPr>
          <w:rFonts w:eastAsia="仿宋"/>
          <w:sz w:val="24"/>
        </w:rPr>
        <w:tab/>
      </w:r>
      <w:r>
        <w:rPr>
          <w:rFonts w:eastAsia="仿宋"/>
          <w:sz w:val="24"/>
        </w:rPr>
        <w:fldChar w:fldCharType="begin"/>
      </w:r>
      <w:r>
        <w:rPr>
          <w:rFonts w:eastAsia="仿宋"/>
          <w:sz w:val="24"/>
        </w:rPr>
        <w:instrText xml:space="preserve"> PAGEREF _Toc28376 </w:instrText>
      </w:r>
      <w:r>
        <w:rPr>
          <w:rFonts w:eastAsia="仿宋"/>
          <w:sz w:val="24"/>
        </w:rPr>
        <w:fldChar w:fldCharType="separate"/>
      </w:r>
      <w:r>
        <w:rPr>
          <w:rFonts w:eastAsia="仿宋"/>
          <w:sz w:val="24"/>
        </w:rPr>
        <w:t>62</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_Toc32181 </w:instrText>
      </w:r>
      <w:r>
        <w:rPr>
          <w:rFonts w:eastAsia="仿宋"/>
          <w:sz w:val="24"/>
        </w:rPr>
        <w:fldChar w:fldCharType="separate"/>
      </w:r>
      <w:r>
        <w:rPr>
          <w:rFonts w:hint="eastAsia" w:eastAsia="仿宋"/>
          <w:sz w:val="24"/>
        </w:rPr>
        <w:t>精品资源开放（共享）课程建设实施办法</w:t>
      </w:r>
      <w:r>
        <w:rPr>
          <w:rFonts w:eastAsia="仿宋"/>
          <w:sz w:val="24"/>
        </w:rPr>
        <w:tab/>
      </w:r>
      <w:r>
        <w:rPr>
          <w:rFonts w:eastAsia="仿宋"/>
          <w:sz w:val="24"/>
        </w:rPr>
        <w:fldChar w:fldCharType="begin"/>
      </w:r>
      <w:r>
        <w:rPr>
          <w:rFonts w:eastAsia="仿宋"/>
          <w:sz w:val="24"/>
        </w:rPr>
        <w:instrText xml:space="preserve"> PAGEREF _Toc32181 </w:instrText>
      </w:r>
      <w:r>
        <w:rPr>
          <w:rFonts w:eastAsia="仿宋"/>
          <w:sz w:val="24"/>
        </w:rPr>
        <w:fldChar w:fldCharType="separate"/>
      </w:r>
      <w:r>
        <w:rPr>
          <w:rFonts w:eastAsia="仿宋"/>
          <w:sz w:val="24"/>
        </w:rPr>
        <w:t>67</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_Toc30757 </w:instrText>
      </w:r>
      <w:r>
        <w:rPr>
          <w:rFonts w:eastAsia="仿宋"/>
          <w:sz w:val="24"/>
        </w:rPr>
        <w:fldChar w:fldCharType="separate"/>
      </w:r>
      <w:r>
        <w:rPr>
          <w:rFonts w:hint="eastAsia" w:eastAsia="仿宋"/>
          <w:sz w:val="24"/>
        </w:rPr>
        <w:t>实验（实训）室建设与管理制度</w:t>
      </w:r>
      <w:r>
        <w:rPr>
          <w:rFonts w:eastAsia="仿宋"/>
          <w:sz w:val="24"/>
        </w:rPr>
        <w:tab/>
      </w:r>
      <w:r>
        <w:rPr>
          <w:rFonts w:eastAsia="仿宋"/>
          <w:sz w:val="24"/>
        </w:rPr>
        <w:fldChar w:fldCharType="begin"/>
      </w:r>
      <w:r>
        <w:rPr>
          <w:rFonts w:eastAsia="仿宋"/>
          <w:sz w:val="24"/>
        </w:rPr>
        <w:instrText xml:space="preserve"> PAGEREF _Toc30757 </w:instrText>
      </w:r>
      <w:r>
        <w:rPr>
          <w:rFonts w:eastAsia="仿宋"/>
          <w:sz w:val="24"/>
        </w:rPr>
        <w:fldChar w:fldCharType="separate"/>
      </w:r>
      <w:r>
        <w:rPr>
          <w:rFonts w:eastAsia="仿宋"/>
          <w:sz w:val="24"/>
        </w:rPr>
        <w:t>70</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_Toc31280 </w:instrText>
      </w:r>
      <w:r>
        <w:rPr>
          <w:rFonts w:eastAsia="仿宋"/>
          <w:sz w:val="24"/>
        </w:rPr>
        <w:fldChar w:fldCharType="separate"/>
      </w:r>
      <w:r>
        <w:rPr>
          <w:rFonts w:hint="eastAsia" w:eastAsia="仿宋"/>
          <w:sz w:val="24"/>
        </w:rPr>
        <w:t>实验（实训）室安全管理规定</w:t>
      </w:r>
      <w:r>
        <w:rPr>
          <w:rFonts w:eastAsia="仿宋"/>
          <w:sz w:val="24"/>
        </w:rPr>
        <w:tab/>
      </w:r>
      <w:r>
        <w:rPr>
          <w:rFonts w:eastAsia="仿宋"/>
          <w:sz w:val="24"/>
        </w:rPr>
        <w:fldChar w:fldCharType="begin"/>
      </w:r>
      <w:r>
        <w:rPr>
          <w:rFonts w:eastAsia="仿宋"/>
          <w:sz w:val="24"/>
        </w:rPr>
        <w:instrText xml:space="preserve"> PAGEREF _Toc31280 </w:instrText>
      </w:r>
      <w:r>
        <w:rPr>
          <w:rFonts w:eastAsia="仿宋"/>
          <w:sz w:val="24"/>
        </w:rPr>
        <w:fldChar w:fldCharType="separate"/>
      </w:r>
      <w:r>
        <w:rPr>
          <w:rFonts w:eastAsia="仿宋"/>
          <w:sz w:val="24"/>
        </w:rPr>
        <w:t>76</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_Toc11435 </w:instrText>
      </w:r>
      <w:r>
        <w:rPr>
          <w:rFonts w:eastAsia="仿宋"/>
          <w:sz w:val="24"/>
        </w:rPr>
        <w:fldChar w:fldCharType="separate"/>
      </w:r>
      <w:r>
        <w:rPr>
          <w:rFonts w:hint="eastAsia" w:eastAsia="仿宋"/>
          <w:sz w:val="24"/>
        </w:rPr>
        <w:t>实验员管理办法</w:t>
      </w:r>
      <w:r>
        <w:rPr>
          <w:rFonts w:eastAsia="仿宋"/>
          <w:sz w:val="24"/>
        </w:rPr>
        <w:tab/>
      </w:r>
      <w:r>
        <w:rPr>
          <w:rFonts w:eastAsia="仿宋"/>
          <w:sz w:val="24"/>
        </w:rPr>
        <w:fldChar w:fldCharType="begin"/>
      </w:r>
      <w:r>
        <w:rPr>
          <w:rFonts w:eastAsia="仿宋"/>
          <w:sz w:val="24"/>
        </w:rPr>
        <w:instrText xml:space="preserve"> PAGEREF _Toc11435 </w:instrText>
      </w:r>
      <w:r>
        <w:rPr>
          <w:rFonts w:eastAsia="仿宋"/>
          <w:sz w:val="24"/>
        </w:rPr>
        <w:fldChar w:fldCharType="separate"/>
      </w:r>
      <w:r>
        <w:rPr>
          <w:rFonts w:eastAsia="仿宋"/>
          <w:sz w:val="24"/>
        </w:rPr>
        <w:t>77</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_Toc1362 </w:instrText>
      </w:r>
      <w:r>
        <w:rPr>
          <w:rFonts w:eastAsia="仿宋"/>
          <w:sz w:val="24"/>
        </w:rPr>
        <w:fldChar w:fldCharType="separate"/>
      </w:r>
      <w:r>
        <w:rPr>
          <w:rFonts w:hint="eastAsia" w:eastAsia="仿宋"/>
          <w:sz w:val="24"/>
        </w:rPr>
        <w:t>学生实验（实训）室行为规范</w:t>
      </w:r>
      <w:r>
        <w:rPr>
          <w:rFonts w:eastAsia="仿宋"/>
          <w:sz w:val="24"/>
        </w:rPr>
        <w:tab/>
      </w:r>
      <w:r>
        <w:rPr>
          <w:rFonts w:eastAsia="仿宋"/>
          <w:sz w:val="24"/>
        </w:rPr>
        <w:fldChar w:fldCharType="begin"/>
      </w:r>
      <w:r>
        <w:rPr>
          <w:rFonts w:eastAsia="仿宋"/>
          <w:sz w:val="24"/>
        </w:rPr>
        <w:instrText xml:space="preserve"> PAGEREF _Toc1362 </w:instrText>
      </w:r>
      <w:r>
        <w:rPr>
          <w:rFonts w:eastAsia="仿宋"/>
          <w:sz w:val="24"/>
        </w:rPr>
        <w:fldChar w:fldCharType="separate"/>
      </w:r>
      <w:r>
        <w:rPr>
          <w:rFonts w:eastAsia="仿宋"/>
          <w:sz w:val="24"/>
        </w:rPr>
        <w:t>79</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_Toc7497 </w:instrText>
      </w:r>
      <w:r>
        <w:rPr>
          <w:rFonts w:eastAsia="仿宋"/>
          <w:sz w:val="24"/>
        </w:rPr>
        <w:fldChar w:fldCharType="separate"/>
      </w:r>
      <w:r>
        <w:rPr>
          <w:rFonts w:hint="eastAsia" w:eastAsia="仿宋"/>
          <w:sz w:val="24"/>
        </w:rPr>
        <w:t>考务管理制度</w:t>
      </w:r>
      <w:r>
        <w:rPr>
          <w:rFonts w:eastAsia="仿宋"/>
          <w:sz w:val="24"/>
        </w:rPr>
        <w:tab/>
      </w:r>
      <w:r>
        <w:rPr>
          <w:rFonts w:eastAsia="仿宋"/>
          <w:sz w:val="24"/>
        </w:rPr>
        <w:fldChar w:fldCharType="begin"/>
      </w:r>
      <w:r>
        <w:rPr>
          <w:rFonts w:eastAsia="仿宋"/>
          <w:sz w:val="24"/>
        </w:rPr>
        <w:instrText xml:space="preserve"> PAGEREF _Toc7497 </w:instrText>
      </w:r>
      <w:r>
        <w:rPr>
          <w:rFonts w:eastAsia="仿宋"/>
          <w:sz w:val="24"/>
        </w:rPr>
        <w:fldChar w:fldCharType="separate"/>
      </w:r>
      <w:r>
        <w:rPr>
          <w:rFonts w:eastAsia="仿宋"/>
          <w:sz w:val="24"/>
        </w:rPr>
        <w:t>80</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_Toc22801 </w:instrText>
      </w:r>
      <w:r>
        <w:rPr>
          <w:rFonts w:eastAsia="仿宋"/>
          <w:sz w:val="24"/>
        </w:rPr>
        <w:fldChar w:fldCharType="separate"/>
      </w:r>
      <w:r>
        <w:rPr>
          <w:rFonts w:hint="eastAsia" w:eastAsia="仿宋"/>
          <w:sz w:val="24"/>
        </w:rPr>
        <w:t>教师监考守则</w:t>
      </w:r>
      <w:r>
        <w:rPr>
          <w:rFonts w:eastAsia="仿宋"/>
          <w:sz w:val="24"/>
        </w:rPr>
        <w:tab/>
      </w:r>
      <w:r>
        <w:rPr>
          <w:rFonts w:eastAsia="仿宋"/>
          <w:sz w:val="24"/>
        </w:rPr>
        <w:fldChar w:fldCharType="begin"/>
      </w:r>
      <w:r>
        <w:rPr>
          <w:rFonts w:eastAsia="仿宋"/>
          <w:sz w:val="24"/>
        </w:rPr>
        <w:instrText xml:space="preserve"> PAGEREF _Toc22801 </w:instrText>
      </w:r>
      <w:r>
        <w:rPr>
          <w:rFonts w:eastAsia="仿宋"/>
          <w:sz w:val="24"/>
        </w:rPr>
        <w:fldChar w:fldCharType="separate"/>
      </w:r>
      <w:r>
        <w:rPr>
          <w:rFonts w:eastAsia="仿宋"/>
          <w:sz w:val="24"/>
        </w:rPr>
        <w:t>94</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_Toc7776 </w:instrText>
      </w:r>
      <w:r>
        <w:rPr>
          <w:rFonts w:eastAsia="仿宋"/>
          <w:sz w:val="24"/>
        </w:rPr>
        <w:fldChar w:fldCharType="separate"/>
      </w:r>
      <w:r>
        <w:rPr>
          <w:rFonts w:hint="eastAsia" w:eastAsia="仿宋"/>
          <w:sz w:val="24"/>
        </w:rPr>
        <w:t>学生学籍管理规定</w:t>
      </w:r>
      <w:r>
        <w:rPr>
          <w:rFonts w:eastAsia="仿宋"/>
          <w:sz w:val="24"/>
        </w:rPr>
        <w:tab/>
      </w:r>
      <w:r>
        <w:rPr>
          <w:rFonts w:eastAsia="仿宋"/>
          <w:sz w:val="24"/>
        </w:rPr>
        <w:fldChar w:fldCharType="begin"/>
      </w:r>
      <w:r>
        <w:rPr>
          <w:rFonts w:eastAsia="仿宋"/>
          <w:sz w:val="24"/>
        </w:rPr>
        <w:instrText xml:space="preserve"> PAGEREF _Toc7776 </w:instrText>
      </w:r>
      <w:r>
        <w:rPr>
          <w:rFonts w:eastAsia="仿宋"/>
          <w:sz w:val="24"/>
        </w:rPr>
        <w:fldChar w:fldCharType="separate"/>
      </w:r>
      <w:r>
        <w:rPr>
          <w:rFonts w:eastAsia="仿宋"/>
          <w:sz w:val="24"/>
        </w:rPr>
        <w:t>96</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_Toc6507 </w:instrText>
      </w:r>
      <w:r>
        <w:rPr>
          <w:rFonts w:eastAsia="仿宋"/>
          <w:sz w:val="24"/>
        </w:rPr>
        <w:fldChar w:fldCharType="separate"/>
      </w:r>
      <w:r>
        <w:rPr>
          <w:rFonts w:hint="eastAsia" w:eastAsia="仿宋"/>
          <w:sz w:val="24"/>
        </w:rPr>
        <w:t>转学管理办法</w:t>
      </w:r>
      <w:r>
        <w:rPr>
          <w:rFonts w:eastAsia="仿宋"/>
          <w:sz w:val="24"/>
        </w:rPr>
        <w:tab/>
      </w:r>
      <w:r>
        <w:rPr>
          <w:rFonts w:eastAsia="仿宋"/>
          <w:sz w:val="24"/>
        </w:rPr>
        <w:fldChar w:fldCharType="begin"/>
      </w:r>
      <w:r>
        <w:rPr>
          <w:rFonts w:eastAsia="仿宋"/>
          <w:sz w:val="24"/>
        </w:rPr>
        <w:instrText xml:space="preserve"> PAGEREF _Toc6507 </w:instrText>
      </w:r>
      <w:r>
        <w:rPr>
          <w:rFonts w:eastAsia="仿宋"/>
          <w:sz w:val="24"/>
        </w:rPr>
        <w:fldChar w:fldCharType="separate"/>
      </w:r>
      <w:r>
        <w:rPr>
          <w:rFonts w:eastAsia="仿宋"/>
          <w:sz w:val="24"/>
        </w:rPr>
        <w:t>106</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_Toc26773 </w:instrText>
      </w:r>
      <w:r>
        <w:rPr>
          <w:rFonts w:eastAsia="仿宋"/>
          <w:sz w:val="24"/>
        </w:rPr>
        <w:fldChar w:fldCharType="separate"/>
      </w:r>
      <w:r>
        <w:rPr>
          <w:rFonts w:hint="eastAsia" w:eastAsia="仿宋"/>
          <w:sz w:val="24"/>
        </w:rPr>
        <w:t>新生保留入学资格办法</w:t>
      </w:r>
      <w:r>
        <w:rPr>
          <w:rFonts w:eastAsia="仿宋"/>
          <w:sz w:val="24"/>
        </w:rPr>
        <w:tab/>
      </w:r>
      <w:r>
        <w:rPr>
          <w:rFonts w:eastAsia="仿宋"/>
          <w:sz w:val="24"/>
        </w:rPr>
        <w:fldChar w:fldCharType="begin"/>
      </w:r>
      <w:r>
        <w:rPr>
          <w:rFonts w:eastAsia="仿宋"/>
          <w:sz w:val="24"/>
        </w:rPr>
        <w:instrText xml:space="preserve"> PAGEREF _Toc26773 </w:instrText>
      </w:r>
      <w:r>
        <w:rPr>
          <w:rFonts w:eastAsia="仿宋"/>
          <w:sz w:val="24"/>
        </w:rPr>
        <w:fldChar w:fldCharType="separate"/>
      </w:r>
      <w:r>
        <w:rPr>
          <w:rFonts w:eastAsia="仿宋"/>
          <w:sz w:val="24"/>
        </w:rPr>
        <w:t>108</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_Toc5795 </w:instrText>
      </w:r>
      <w:r>
        <w:rPr>
          <w:rFonts w:eastAsia="仿宋"/>
          <w:sz w:val="24"/>
        </w:rPr>
        <w:fldChar w:fldCharType="separate"/>
      </w:r>
      <w:r>
        <w:rPr>
          <w:rFonts w:hint="eastAsia" w:eastAsia="仿宋"/>
          <w:sz w:val="24"/>
        </w:rPr>
        <w:t>新生入学资格复查办法</w:t>
      </w:r>
      <w:r>
        <w:rPr>
          <w:rFonts w:eastAsia="仿宋"/>
          <w:sz w:val="24"/>
        </w:rPr>
        <w:tab/>
      </w:r>
      <w:r>
        <w:rPr>
          <w:rFonts w:eastAsia="仿宋"/>
          <w:sz w:val="24"/>
        </w:rPr>
        <w:fldChar w:fldCharType="begin"/>
      </w:r>
      <w:r>
        <w:rPr>
          <w:rFonts w:eastAsia="仿宋"/>
          <w:sz w:val="24"/>
        </w:rPr>
        <w:instrText xml:space="preserve"> PAGEREF _Toc5795 </w:instrText>
      </w:r>
      <w:r>
        <w:rPr>
          <w:rFonts w:eastAsia="仿宋"/>
          <w:sz w:val="24"/>
        </w:rPr>
        <w:fldChar w:fldCharType="separate"/>
      </w:r>
      <w:r>
        <w:rPr>
          <w:rFonts w:eastAsia="仿宋"/>
          <w:sz w:val="24"/>
        </w:rPr>
        <w:t>110</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_Toc25736 </w:instrText>
      </w:r>
      <w:r>
        <w:rPr>
          <w:rFonts w:eastAsia="仿宋"/>
          <w:sz w:val="24"/>
        </w:rPr>
        <w:fldChar w:fldCharType="separate"/>
      </w:r>
      <w:r>
        <w:rPr>
          <w:rFonts w:hint="eastAsia" w:eastAsia="仿宋"/>
          <w:sz w:val="24"/>
        </w:rPr>
        <w:t>休学与复学管理办法</w:t>
      </w:r>
      <w:r>
        <w:rPr>
          <w:rFonts w:eastAsia="仿宋"/>
          <w:sz w:val="24"/>
        </w:rPr>
        <w:tab/>
      </w:r>
      <w:r>
        <w:rPr>
          <w:rFonts w:eastAsia="仿宋"/>
          <w:sz w:val="24"/>
        </w:rPr>
        <w:fldChar w:fldCharType="begin"/>
      </w:r>
      <w:r>
        <w:rPr>
          <w:rFonts w:eastAsia="仿宋"/>
          <w:sz w:val="24"/>
        </w:rPr>
        <w:instrText xml:space="preserve"> PAGEREF _Toc25736 </w:instrText>
      </w:r>
      <w:r>
        <w:rPr>
          <w:rFonts w:eastAsia="仿宋"/>
          <w:sz w:val="24"/>
        </w:rPr>
        <w:fldChar w:fldCharType="separate"/>
      </w:r>
      <w:r>
        <w:rPr>
          <w:rFonts w:eastAsia="仿宋"/>
          <w:sz w:val="24"/>
        </w:rPr>
        <w:t>112</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_Toc12954 </w:instrText>
      </w:r>
      <w:r>
        <w:rPr>
          <w:rFonts w:eastAsia="仿宋"/>
          <w:sz w:val="24"/>
        </w:rPr>
        <w:fldChar w:fldCharType="separate"/>
      </w:r>
      <w:r>
        <w:rPr>
          <w:rFonts w:hint="eastAsia" w:eastAsia="仿宋"/>
          <w:sz w:val="24"/>
        </w:rPr>
        <w:t>学生退学管理办法</w:t>
      </w:r>
      <w:r>
        <w:rPr>
          <w:rFonts w:eastAsia="仿宋"/>
          <w:sz w:val="24"/>
        </w:rPr>
        <w:tab/>
      </w:r>
      <w:r>
        <w:rPr>
          <w:rFonts w:eastAsia="仿宋"/>
          <w:sz w:val="24"/>
        </w:rPr>
        <w:fldChar w:fldCharType="begin"/>
      </w:r>
      <w:r>
        <w:rPr>
          <w:rFonts w:eastAsia="仿宋"/>
          <w:sz w:val="24"/>
        </w:rPr>
        <w:instrText xml:space="preserve"> PAGEREF _Toc12954 </w:instrText>
      </w:r>
      <w:r>
        <w:rPr>
          <w:rFonts w:eastAsia="仿宋"/>
          <w:sz w:val="24"/>
        </w:rPr>
        <w:fldChar w:fldCharType="separate"/>
      </w:r>
      <w:r>
        <w:rPr>
          <w:rFonts w:eastAsia="仿宋"/>
          <w:sz w:val="24"/>
        </w:rPr>
        <w:t>114</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_Toc8526 </w:instrText>
      </w:r>
      <w:r>
        <w:rPr>
          <w:rFonts w:eastAsia="仿宋"/>
          <w:sz w:val="24"/>
        </w:rPr>
        <w:fldChar w:fldCharType="separate"/>
      </w:r>
      <w:r>
        <w:rPr>
          <w:rFonts w:hint="eastAsia" w:eastAsia="仿宋"/>
          <w:sz w:val="24"/>
        </w:rPr>
        <w:t>学籍注册管理办法</w:t>
      </w:r>
      <w:r>
        <w:rPr>
          <w:rFonts w:eastAsia="仿宋"/>
          <w:sz w:val="24"/>
        </w:rPr>
        <w:tab/>
      </w:r>
      <w:r>
        <w:rPr>
          <w:rFonts w:eastAsia="仿宋"/>
          <w:sz w:val="24"/>
        </w:rPr>
        <w:fldChar w:fldCharType="begin"/>
      </w:r>
      <w:r>
        <w:rPr>
          <w:rFonts w:eastAsia="仿宋"/>
          <w:sz w:val="24"/>
        </w:rPr>
        <w:instrText xml:space="preserve"> PAGEREF _Toc8526 </w:instrText>
      </w:r>
      <w:r>
        <w:rPr>
          <w:rFonts w:eastAsia="仿宋"/>
          <w:sz w:val="24"/>
        </w:rPr>
        <w:fldChar w:fldCharType="separate"/>
      </w:r>
      <w:r>
        <w:rPr>
          <w:rFonts w:eastAsia="仿宋"/>
          <w:sz w:val="24"/>
        </w:rPr>
        <w:t>116</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_Toc2534 </w:instrText>
      </w:r>
      <w:r>
        <w:rPr>
          <w:rFonts w:eastAsia="仿宋"/>
          <w:sz w:val="24"/>
        </w:rPr>
        <w:fldChar w:fldCharType="separate"/>
      </w:r>
      <w:r>
        <w:rPr>
          <w:rFonts w:hint="eastAsia" w:eastAsia="仿宋"/>
          <w:sz w:val="24"/>
        </w:rPr>
        <w:t>学生证管理办法</w:t>
      </w:r>
      <w:r>
        <w:rPr>
          <w:rFonts w:eastAsia="仿宋"/>
          <w:sz w:val="24"/>
        </w:rPr>
        <w:tab/>
      </w:r>
      <w:r>
        <w:rPr>
          <w:rFonts w:eastAsia="仿宋"/>
          <w:sz w:val="24"/>
        </w:rPr>
        <w:fldChar w:fldCharType="begin"/>
      </w:r>
      <w:r>
        <w:rPr>
          <w:rFonts w:eastAsia="仿宋"/>
          <w:sz w:val="24"/>
        </w:rPr>
        <w:instrText xml:space="preserve"> PAGEREF _Toc2534 </w:instrText>
      </w:r>
      <w:r>
        <w:rPr>
          <w:rFonts w:eastAsia="仿宋"/>
          <w:sz w:val="24"/>
        </w:rPr>
        <w:fldChar w:fldCharType="separate"/>
      </w:r>
      <w:r>
        <w:rPr>
          <w:rFonts w:eastAsia="仿宋"/>
          <w:sz w:val="24"/>
        </w:rPr>
        <w:t>119</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_Toc13234 </w:instrText>
      </w:r>
      <w:r>
        <w:rPr>
          <w:rFonts w:eastAsia="仿宋"/>
          <w:sz w:val="24"/>
        </w:rPr>
        <w:fldChar w:fldCharType="separate"/>
      </w:r>
      <w:r>
        <w:rPr>
          <w:rFonts w:hint="eastAsia" w:eastAsia="仿宋"/>
          <w:sz w:val="24"/>
        </w:rPr>
        <w:t>学生转专业实施办法</w:t>
      </w:r>
      <w:r>
        <w:rPr>
          <w:rFonts w:eastAsia="仿宋"/>
          <w:sz w:val="24"/>
        </w:rPr>
        <w:tab/>
      </w:r>
      <w:r>
        <w:rPr>
          <w:rFonts w:eastAsia="仿宋"/>
          <w:sz w:val="24"/>
        </w:rPr>
        <w:fldChar w:fldCharType="begin"/>
      </w:r>
      <w:r>
        <w:rPr>
          <w:rFonts w:eastAsia="仿宋"/>
          <w:sz w:val="24"/>
        </w:rPr>
        <w:instrText xml:space="preserve"> PAGEREF _Toc13234 </w:instrText>
      </w:r>
      <w:r>
        <w:rPr>
          <w:rFonts w:eastAsia="仿宋"/>
          <w:sz w:val="24"/>
        </w:rPr>
        <w:fldChar w:fldCharType="separate"/>
      </w:r>
      <w:r>
        <w:rPr>
          <w:rFonts w:eastAsia="仿宋"/>
          <w:sz w:val="24"/>
        </w:rPr>
        <w:t>120</w:t>
      </w:r>
      <w:r>
        <w:rPr>
          <w:rFonts w:eastAsia="仿宋"/>
          <w:sz w:val="24"/>
        </w:rPr>
        <w:fldChar w:fldCharType="end"/>
      </w:r>
      <w:r>
        <w:rPr>
          <w:rFonts w:eastAsia="仿宋"/>
          <w:color w:val="auto"/>
          <w:sz w:val="24"/>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_Toc18056 </w:instrText>
      </w:r>
      <w:r>
        <w:rPr>
          <w:rFonts w:eastAsia="仿宋"/>
          <w:sz w:val="24"/>
        </w:rPr>
        <w:fldChar w:fldCharType="separate"/>
      </w:r>
      <w:r>
        <w:rPr>
          <w:rFonts w:hint="eastAsia" w:ascii="黑体" w:hAnsi="黑体" w:eastAsia="黑体" w:cs="黑体"/>
          <w:color w:val="auto"/>
          <w:sz w:val="24"/>
        </w:rPr>
        <w:t>第四部分  教学质量监控</w:t>
      </w:r>
      <w:r>
        <w:rPr>
          <w:rFonts w:eastAsia="仿宋"/>
          <w:sz w:val="24"/>
        </w:rPr>
        <w:tab/>
      </w:r>
      <w:r>
        <w:rPr>
          <w:rFonts w:eastAsia="仿宋"/>
          <w:sz w:val="24"/>
        </w:rPr>
        <w:fldChar w:fldCharType="begin"/>
      </w:r>
      <w:r>
        <w:rPr>
          <w:rFonts w:eastAsia="仿宋"/>
          <w:sz w:val="24"/>
        </w:rPr>
        <w:instrText xml:space="preserve"> PAGEREF _Toc18056 </w:instrText>
      </w:r>
      <w:r>
        <w:rPr>
          <w:rFonts w:eastAsia="仿宋"/>
          <w:sz w:val="24"/>
        </w:rPr>
        <w:fldChar w:fldCharType="separate"/>
      </w:r>
      <w:r>
        <w:rPr>
          <w:rFonts w:eastAsia="仿宋"/>
          <w:sz w:val="24"/>
        </w:rPr>
        <w:t>123</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_Toc27782 </w:instrText>
      </w:r>
      <w:r>
        <w:rPr>
          <w:rFonts w:eastAsia="仿宋"/>
          <w:sz w:val="24"/>
        </w:rPr>
        <w:fldChar w:fldCharType="separate"/>
      </w:r>
      <w:r>
        <w:rPr>
          <w:rFonts w:hint="eastAsia" w:eastAsia="仿宋"/>
          <w:sz w:val="24"/>
        </w:rPr>
        <w:t>教学质量监控体</w:t>
      </w:r>
      <w:r>
        <w:rPr>
          <w:rFonts w:hint="eastAsia" w:eastAsia="仿宋"/>
          <w:sz w:val="24"/>
          <w:lang w:eastAsia="zh-CN"/>
        </w:rPr>
        <w:t>二级学院</w:t>
      </w:r>
      <w:r>
        <w:rPr>
          <w:rFonts w:hint="eastAsia" w:eastAsia="仿宋"/>
          <w:sz w:val="24"/>
        </w:rPr>
        <w:t>实施办法</w:t>
      </w:r>
      <w:r>
        <w:rPr>
          <w:rFonts w:eastAsia="仿宋"/>
          <w:sz w:val="24"/>
        </w:rPr>
        <w:tab/>
      </w:r>
      <w:r>
        <w:rPr>
          <w:rFonts w:eastAsia="仿宋"/>
          <w:sz w:val="24"/>
        </w:rPr>
        <w:fldChar w:fldCharType="begin"/>
      </w:r>
      <w:r>
        <w:rPr>
          <w:rFonts w:eastAsia="仿宋"/>
          <w:sz w:val="24"/>
        </w:rPr>
        <w:instrText xml:space="preserve"> PAGEREF _Toc27782 </w:instrText>
      </w:r>
      <w:r>
        <w:rPr>
          <w:rFonts w:eastAsia="仿宋"/>
          <w:sz w:val="24"/>
        </w:rPr>
        <w:fldChar w:fldCharType="separate"/>
      </w:r>
      <w:r>
        <w:rPr>
          <w:rFonts w:eastAsia="仿宋"/>
          <w:sz w:val="24"/>
        </w:rPr>
        <w:t>123</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_Toc29047 </w:instrText>
      </w:r>
      <w:r>
        <w:rPr>
          <w:rFonts w:eastAsia="仿宋"/>
          <w:sz w:val="24"/>
        </w:rPr>
        <w:fldChar w:fldCharType="separate"/>
      </w:r>
      <w:r>
        <w:rPr>
          <w:rFonts w:hint="eastAsia" w:eastAsia="仿宋"/>
          <w:sz w:val="24"/>
        </w:rPr>
        <w:t>教学质量与教学改革工程项目管理暂行办法</w:t>
      </w:r>
      <w:r>
        <w:rPr>
          <w:rFonts w:eastAsia="仿宋"/>
          <w:sz w:val="24"/>
        </w:rPr>
        <w:tab/>
      </w:r>
      <w:r>
        <w:rPr>
          <w:rFonts w:eastAsia="仿宋"/>
          <w:sz w:val="24"/>
        </w:rPr>
        <w:fldChar w:fldCharType="begin"/>
      </w:r>
      <w:r>
        <w:rPr>
          <w:rFonts w:eastAsia="仿宋"/>
          <w:sz w:val="24"/>
        </w:rPr>
        <w:instrText xml:space="preserve"> PAGEREF _Toc29047 </w:instrText>
      </w:r>
      <w:r>
        <w:rPr>
          <w:rFonts w:eastAsia="仿宋"/>
          <w:sz w:val="24"/>
        </w:rPr>
        <w:fldChar w:fldCharType="separate"/>
      </w:r>
      <w:r>
        <w:rPr>
          <w:rFonts w:eastAsia="仿宋"/>
          <w:sz w:val="24"/>
        </w:rPr>
        <w:t>127</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_Toc1686 </w:instrText>
      </w:r>
      <w:r>
        <w:rPr>
          <w:rFonts w:eastAsia="仿宋"/>
          <w:sz w:val="24"/>
        </w:rPr>
        <w:fldChar w:fldCharType="separate"/>
      </w:r>
      <w:r>
        <w:rPr>
          <w:rFonts w:hint="eastAsia" w:eastAsia="仿宋"/>
          <w:sz w:val="24"/>
        </w:rPr>
        <w:t>教学督导工作规程</w:t>
      </w:r>
      <w:r>
        <w:rPr>
          <w:rFonts w:eastAsia="仿宋"/>
          <w:sz w:val="24"/>
        </w:rPr>
        <w:tab/>
      </w:r>
      <w:r>
        <w:rPr>
          <w:rFonts w:eastAsia="仿宋"/>
          <w:sz w:val="24"/>
        </w:rPr>
        <w:fldChar w:fldCharType="begin"/>
      </w:r>
      <w:r>
        <w:rPr>
          <w:rFonts w:eastAsia="仿宋"/>
          <w:sz w:val="24"/>
        </w:rPr>
        <w:instrText xml:space="preserve"> PAGEREF _Toc1686 </w:instrText>
      </w:r>
      <w:r>
        <w:rPr>
          <w:rFonts w:eastAsia="仿宋"/>
          <w:sz w:val="24"/>
        </w:rPr>
        <w:fldChar w:fldCharType="separate"/>
      </w:r>
      <w:r>
        <w:rPr>
          <w:rFonts w:eastAsia="仿宋"/>
          <w:sz w:val="24"/>
        </w:rPr>
        <w:t>130</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_Toc342 </w:instrText>
      </w:r>
      <w:r>
        <w:rPr>
          <w:rFonts w:eastAsia="仿宋"/>
          <w:sz w:val="24"/>
        </w:rPr>
        <w:fldChar w:fldCharType="separate"/>
      </w:r>
      <w:r>
        <w:rPr>
          <w:rFonts w:hint="eastAsia" w:eastAsia="仿宋"/>
          <w:sz w:val="24"/>
        </w:rPr>
        <w:t>学生教学质量信息员制度</w:t>
      </w:r>
      <w:r>
        <w:rPr>
          <w:rFonts w:eastAsia="仿宋"/>
          <w:sz w:val="24"/>
        </w:rPr>
        <w:tab/>
      </w:r>
      <w:r>
        <w:rPr>
          <w:rFonts w:eastAsia="仿宋"/>
          <w:sz w:val="24"/>
        </w:rPr>
        <w:fldChar w:fldCharType="begin"/>
      </w:r>
      <w:r>
        <w:rPr>
          <w:rFonts w:eastAsia="仿宋"/>
          <w:sz w:val="24"/>
        </w:rPr>
        <w:instrText xml:space="preserve"> PAGEREF _Toc342 </w:instrText>
      </w:r>
      <w:r>
        <w:rPr>
          <w:rFonts w:eastAsia="仿宋"/>
          <w:sz w:val="24"/>
        </w:rPr>
        <w:fldChar w:fldCharType="separate"/>
      </w:r>
      <w:r>
        <w:rPr>
          <w:rFonts w:eastAsia="仿宋"/>
          <w:sz w:val="24"/>
        </w:rPr>
        <w:t>139</w:t>
      </w:r>
      <w:r>
        <w:rPr>
          <w:rFonts w:eastAsia="仿宋"/>
          <w:sz w:val="24"/>
        </w:rPr>
        <w:fldChar w:fldCharType="end"/>
      </w:r>
      <w:r>
        <w:rPr>
          <w:rFonts w:eastAsia="仿宋"/>
          <w:color w:val="auto"/>
          <w:sz w:val="24"/>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_Toc12526 </w:instrText>
      </w:r>
      <w:r>
        <w:rPr>
          <w:rFonts w:eastAsia="仿宋"/>
          <w:sz w:val="24"/>
        </w:rPr>
        <w:fldChar w:fldCharType="separate"/>
      </w:r>
      <w:r>
        <w:rPr>
          <w:rFonts w:hint="eastAsia" w:ascii="黑体" w:hAnsi="黑体" w:eastAsia="黑体" w:cs="黑体"/>
          <w:color w:val="auto"/>
          <w:sz w:val="24"/>
        </w:rPr>
        <w:t>第五部分  教师队伍建设</w:t>
      </w:r>
      <w:r>
        <w:rPr>
          <w:rFonts w:eastAsia="仿宋"/>
          <w:sz w:val="24"/>
        </w:rPr>
        <w:tab/>
      </w:r>
      <w:r>
        <w:rPr>
          <w:rFonts w:eastAsia="仿宋"/>
          <w:sz w:val="24"/>
        </w:rPr>
        <w:fldChar w:fldCharType="begin"/>
      </w:r>
      <w:r>
        <w:rPr>
          <w:rFonts w:eastAsia="仿宋"/>
          <w:sz w:val="24"/>
        </w:rPr>
        <w:instrText xml:space="preserve"> PAGEREF _Toc12526 </w:instrText>
      </w:r>
      <w:r>
        <w:rPr>
          <w:rFonts w:eastAsia="仿宋"/>
          <w:sz w:val="24"/>
        </w:rPr>
        <w:fldChar w:fldCharType="separate"/>
      </w:r>
      <w:r>
        <w:rPr>
          <w:rFonts w:eastAsia="仿宋"/>
          <w:sz w:val="24"/>
        </w:rPr>
        <w:t>142</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_Toc6161 </w:instrText>
      </w:r>
      <w:r>
        <w:rPr>
          <w:rFonts w:eastAsia="仿宋"/>
          <w:sz w:val="24"/>
        </w:rPr>
        <w:fldChar w:fldCharType="separate"/>
      </w:r>
      <w:r>
        <w:rPr>
          <w:rFonts w:hint="eastAsia" w:eastAsia="仿宋"/>
          <w:sz w:val="24"/>
        </w:rPr>
        <w:t>专业带头人评选管理办法</w:t>
      </w:r>
      <w:r>
        <w:rPr>
          <w:rFonts w:eastAsia="仿宋"/>
          <w:sz w:val="24"/>
        </w:rPr>
        <w:tab/>
      </w:r>
      <w:r>
        <w:rPr>
          <w:rFonts w:eastAsia="仿宋"/>
          <w:sz w:val="24"/>
        </w:rPr>
        <w:fldChar w:fldCharType="begin"/>
      </w:r>
      <w:r>
        <w:rPr>
          <w:rFonts w:eastAsia="仿宋"/>
          <w:sz w:val="24"/>
        </w:rPr>
        <w:instrText xml:space="preserve"> PAGEREF _Toc6161 </w:instrText>
      </w:r>
      <w:r>
        <w:rPr>
          <w:rFonts w:eastAsia="仿宋"/>
          <w:sz w:val="24"/>
        </w:rPr>
        <w:fldChar w:fldCharType="separate"/>
      </w:r>
      <w:r>
        <w:rPr>
          <w:rFonts w:eastAsia="仿宋"/>
          <w:sz w:val="24"/>
        </w:rPr>
        <w:t>142</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_Toc16531 </w:instrText>
      </w:r>
      <w:r>
        <w:rPr>
          <w:rFonts w:eastAsia="仿宋"/>
          <w:sz w:val="24"/>
        </w:rPr>
        <w:fldChar w:fldCharType="separate"/>
      </w:r>
      <w:r>
        <w:rPr>
          <w:rFonts w:hint="eastAsia" w:eastAsia="仿宋"/>
          <w:sz w:val="24"/>
        </w:rPr>
        <w:t>院级名师评选管理办法</w:t>
      </w:r>
      <w:r>
        <w:rPr>
          <w:rFonts w:eastAsia="仿宋"/>
          <w:sz w:val="24"/>
        </w:rPr>
        <w:tab/>
      </w:r>
      <w:r>
        <w:rPr>
          <w:rFonts w:eastAsia="仿宋"/>
          <w:sz w:val="24"/>
        </w:rPr>
        <w:fldChar w:fldCharType="begin"/>
      </w:r>
      <w:r>
        <w:rPr>
          <w:rFonts w:eastAsia="仿宋"/>
          <w:sz w:val="24"/>
        </w:rPr>
        <w:instrText xml:space="preserve"> PAGEREF _Toc16531 </w:instrText>
      </w:r>
      <w:r>
        <w:rPr>
          <w:rFonts w:eastAsia="仿宋"/>
          <w:sz w:val="24"/>
        </w:rPr>
        <w:fldChar w:fldCharType="separate"/>
      </w:r>
      <w:r>
        <w:rPr>
          <w:rFonts w:eastAsia="仿宋"/>
          <w:sz w:val="24"/>
        </w:rPr>
        <w:t>144</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_Toc11835 </w:instrText>
      </w:r>
      <w:r>
        <w:rPr>
          <w:rFonts w:eastAsia="仿宋"/>
          <w:sz w:val="24"/>
        </w:rPr>
        <w:fldChar w:fldCharType="separate"/>
      </w:r>
      <w:r>
        <w:rPr>
          <w:rFonts w:hint="eastAsia" w:eastAsia="仿宋"/>
          <w:sz w:val="24"/>
        </w:rPr>
        <w:t>教学团队建设制度</w:t>
      </w:r>
      <w:r>
        <w:rPr>
          <w:rFonts w:eastAsia="仿宋"/>
          <w:sz w:val="24"/>
        </w:rPr>
        <w:tab/>
      </w:r>
      <w:r>
        <w:rPr>
          <w:rFonts w:eastAsia="仿宋"/>
          <w:sz w:val="24"/>
        </w:rPr>
        <w:fldChar w:fldCharType="begin"/>
      </w:r>
      <w:r>
        <w:rPr>
          <w:rFonts w:eastAsia="仿宋"/>
          <w:sz w:val="24"/>
        </w:rPr>
        <w:instrText xml:space="preserve"> PAGEREF _Toc11835 </w:instrText>
      </w:r>
      <w:r>
        <w:rPr>
          <w:rFonts w:eastAsia="仿宋"/>
          <w:sz w:val="24"/>
        </w:rPr>
        <w:fldChar w:fldCharType="separate"/>
      </w:r>
      <w:r>
        <w:rPr>
          <w:rFonts w:eastAsia="仿宋"/>
          <w:sz w:val="24"/>
        </w:rPr>
        <w:t>149</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_Toc27883 </w:instrText>
      </w:r>
      <w:r>
        <w:rPr>
          <w:rFonts w:eastAsia="仿宋"/>
          <w:sz w:val="24"/>
        </w:rPr>
        <w:fldChar w:fldCharType="separate"/>
      </w:r>
      <w:r>
        <w:rPr>
          <w:rFonts w:hint="eastAsia" w:eastAsia="仿宋"/>
          <w:sz w:val="24"/>
        </w:rPr>
        <w:t>百千万人才培养方案</w:t>
      </w:r>
      <w:r>
        <w:rPr>
          <w:rFonts w:eastAsia="仿宋"/>
          <w:sz w:val="24"/>
        </w:rPr>
        <w:tab/>
      </w:r>
      <w:r>
        <w:rPr>
          <w:rFonts w:eastAsia="仿宋"/>
          <w:sz w:val="24"/>
        </w:rPr>
        <w:fldChar w:fldCharType="begin"/>
      </w:r>
      <w:r>
        <w:rPr>
          <w:rFonts w:eastAsia="仿宋"/>
          <w:sz w:val="24"/>
        </w:rPr>
        <w:instrText xml:space="preserve"> PAGEREF _Toc27883 </w:instrText>
      </w:r>
      <w:r>
        <w:rPr>
          <w:rFonts w:eastAsia="仿宋"/>
          <w:sz w:val="24"/>
        </w:rPr>
        <w:fldChar w:fldCharType="separate"/>
      </w:r>
      <w:r>
        <w:rPr>
          <w:rFonts w:eastAsia="仿宋"/>
          <w:sz w:val="24"/>
        </w:rPr>
        <w:t>151</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_Toc8788 </w:instrText>
      </w:r>
      <w:r>
        <w:rPr>
          <w:rFonts w:eastAsia="仿宋"/>
          <w:sz w:val="24"/>
        </w:rPr>
        <w:fldChar w:fldCharType="separate"/>
      </w:r>
      <w:r>
        <w:rPr>
          <w:rFonts w:hint="eastAsia" w:eastAsia="仿宋"/>
          <w:sz w:val="24"/>
        </w:rPr>
        <w:t>高层次技能型兼职教师聘任制度</w:t>
      </w:r>
      <w:r>
        <w:rPr>
          <w:rFonts w:eastAsia="仿宋"/>
          <w:sz w:val="24"/>
        </w:rPr>
        <w:tab/>
      </w:r>
      <w:r>
        <w:rPr>
          <w:rFonts w:eastAsia="仿宋"/>
          <w:sz w:val="24"/>
        </w:rPr>
        <w:fldChar w:fldCharType="begin"/>
      </w:r>
      <w:r>
        <w:rPr>
          <w:rFonts w:eastAsia="仿宋"/>
          <w:sz w:val="24"/>
        </w:rPr>
        <w:instrText xml:space="preserve"> PAGEREF _Toc8788 </w:instrText>
      </w:r>
      <w:r>
        <w:rPr>
          <w:rFonts w:eastAsia="仿宋"/>
          <w:sz w:val="24"/>
        </w:rPr>
        <w:fldChar w:fldCharType="separate"/>
      </w:r>
      <w:r>
        <w:rPr>
          <w:rFonts w:eastAsia="仿宋"/>
          <w:sz w:val="24"/>
        </w:rPr>
        <w:t>155</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_Toc21596 </w:instrText>
      </w:r>
      <w:r>
        <w:rPr>
          <w:rFonts w:eastAsia="仿宋"/>
          <w:sz w:val="24"/>
        </w:rPr>
        <w:fldChar w:fldCharType="separate"/>
      </w:r>
      <w:r>
        <w:rPr>
          <w:rFonts w:hint="eastAsia" w:eastAsia="仿宋"/>
          <w:sz w:val="24"/>
        </w:rPr>
        <w:t>专业领军人才培养方案</w:t>
      </w:r>
      <w:r>
        <w:rPr>
          <w:rFonts w:eastAsia="仿宋"/>
          <w:sz w:val="24"/>
        </w:rPr>
        <w:tab/>
      </w:r>
      <w:r>
        <w:rPr>
          <w:rFonts w:eastAsia="仿宋"/>
          <w:sz w:val="24"/>
        </w:rPr>
        <w:fldChar w:fldCharType="begin"/>
      </w:r>
      <w:r>
        <w:rPr>
          <w:rFonts w:eastAsia="仿宋"/>
          <w:sz w:val="24"/>
        </w:rPr>
        <w:instrText xml:space="preserve"> PAGEREF _Toc21596 </w:instrText>
      </w:r>
      <w:r>
        <w:rPr>
          <w:rFonts w:eastAsia="仿宋"/>
          <w:sz w:val="24"/>
        </w:rPr>
        <w:fldChar w:fldCharType="separate"/>
      </w:r>
      <w:r>
        <w:rPr>
          <w:rFonts w:eastAsia="仿宋"/>
          <w:sz w:val="24"/>
        </w:rPr>
        <w:t>158</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_Toc4974 </w:instrText>
      </w:r>
      <w:r>
        <w:rPr>
          <w:rFonts w:eastAsia="仿宋"/>
          <w:sz w:val="24"/>
        </w:rPr>
        <w:fldChar w:fldCharType="separate"/>
      </w:r>
      <w:r>
        <w:rPr>
          <w:rFonts w:hint="eastAsia" w:eastAsia="仿宋"/>
          <w:sz w:val="24"/>
        </w:rPr>
        <w:t>骨干教师评选管理办法</w:t>
      </w:r>
      <w:r>
        <w:rPr>
          <w:rFonts w:eastAsia="仿宋"/>
          <w:sz w:val="24"/>
        </w:rPr>
        <w:tab/>
      </w:r>
      <w:r>
        <w:rPr>
          <w:rFonts w:eastAsia="仿宋"/>
          <w:sz w:val="24"/>
        </w:rPr>
        <w:fldChar w:fldCharType="begin"/>
      </w:r>
      <w:r>
        <w:rPr>
          <w:rFonts w:eastAsia="仿宋"/>
          <w:sz w:val="24"/>
        </w:rPr>
        <w:instrText xml:space="preserve"> PAGEREF _Toc4974 </w:instrText>
      </w:r>
      <w:r>
        <w:rPr>
          <w:rFonts w:eastAsia="仿宋"/>
          <w:sz w:val="24"/>
        </w:rPr>
        <w:fldChar w:fldCharType="separate"/>
      </w:r>
      <w:r>
        <w:rPr>
          <w:rFonts w:eastAsia="仿宋"/>
          <w:sz w:val="24"/>
        </w:rPr>
        <w:t>162</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_Toc13036 </w:instrText>
      </w:r>
      <w:r>
        <w:rPr>
          <w:rFonts w:eastAsia="仿宋"/>
          <w:sz w:val="24"/>
        </w:rPr>
        <w:fldChar w:fldCharType="separate"/>
      </w:r>
      <w:r>
        <w:rPr>
          <w:rFonts w:hint="eastAsia" w:eastAsia="仿宋"/>
          <w:sz w:val="24"/>
        </w:rPr>
        <w:t>师资培训管理制度</w:t>
      </w:r>
      <w:r>
        <w:rPr>
          <w:rFonts w:eastAsia="仿宋"/>
          <w:sz w:val="24"/>
        </w:rPr>
        <w:tab/>
      </w:r>
      <w:r>
        <w:rPr>
          <w:rFonts w:eastAsia="仿宋"/>
          <w:sz w:val="24"/>
        </w:rPr>
        <w:fldChar w:fldCharType="begin"/>
      </w:r>
      <w:r>
        <w:rPr>
          <w:rFonts w:eastAsia="仿宋"/>
          <w:sz w:val="24"/>
        </w:rPr>
        <w:instrText xml:space="preserve"> PAGEREF _Toc13036 </w:instrText>
      </w:r>
      <w:r>
        <w:rPr>
          <w:rFonts w:eastAsia="仿宋"/>
          <w:sz w:val="24"/>
        </w:rPr>
        <w:fldChar w:fldCharType="separate"/>
      </w:r>
      <w:r>
        <w:rPr>
          <w:rFonts w:eastAsia="仿宋"/>
          <w:sz w:val="24"/>
        </w:rPr>
        <w:t>164</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_Toc27077 </w:instrText>
      </w:r>
      <w:r>
        <w:rPr>
          <w:rFonts w:eastAsia="仿宋"/>
          <w:sz w:val="24"/>
        </w:rPr>
        <w:fldChar w:fldCharType="separate"/>
      </w:r>
      <w:r>
        <w:rPr>
          <w:rFonts w:hint="eastAsia" w:eastAsia="仿宋"/>
          <w:sz w:val="24"/>
        </w:rPr>
        <w:t>教师进修学习、学历教育管理制度</w:t>
      </w:r>
      <w:r>
        <w:rPr>
          <w:rFonts w:eastAsia="仿宋"/>
          <w:sz w:val="24"/>
        </w:rPr>
        <w:tab/>
      </w:r>
      <w:r>
        <w:rPr>
          <w:rFonts w:eastAsia="仿宋"/>
          <w:sz w:val="24"/>
        </w:rPr>
        <w:fldChar w:fldCharType="begin"/>
      </w:r>
      <w:r>
        <w:rPr>
          <w:rFonts w:eastAsia="仿宋"/>
          <w:sz w:val="24"/>
        </w:rPr>
        <w:instrText xml:space="preserve"> PAGEREF _Toc27077 </w:instrText>
      </w:r>
      <w:r>
        <w:rPr>
          <w:rFonts w:eastAsia="仿宋"/>
          <w:sz w:val="24"/>
        </w:rPr>
        <w:fldChar w:fldCharType="separate"/>
      </w:r>
      <w:r>
        <w:rPr>
          <w:rFonts w:eastAsia="仿宋"/>
          <w:sz w:val="24"/>
        </w:rPr>
        <w:t>167</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_Toc17134 </w:instrText>
      </w:r>
      <w:r>
        <w:rPr>
          <w:rFonts w:eastAsia="仿宋"/>
          <w:sz w:val="24"/>
        </w:rPr>
        <w:fldChar w:fldCharType="separate"/>
      </w:r>
      <w:r>
        <w:rPr>
          <w:rFonts w:hint="eastAsia" w:eastAsia="仿宋"/>
          <w:sz w:val="24"/>
        </w:rPr>
        <w:t>师资培训经费管理制度</w:t>
      </w:r>
      <w:r>
        <w:rPr>
          <w:rFonts w:eastAsia="仿宋"/>
          <w:sz w:val="24"/>
        </w:rPr>
        <w:tab/>
      </w:r>
      <w:r>
        <w:rPr>
          <w:rFonts w:eastAsia="仿宋"/>
          <w:sz w:val="24"/>
        </w:rPr>
        <w:fldChar w:fldCharType="begin"/>
      </w:r>
      <w:r>
        <w:rPr>
          <w:rFonts w:eastAsia="仿宋"/>
          <w:sz w:val="24"/>
        </w:rPr>
        <w:instrText xml:space="preserve"> PAGEREF _Toc17134 </w:instrText>
      </w:r>
      <w:r>
        <w:rPr>
          <w:rFonts w:eastAsia="仿宋"/>
          <w:sz w:val="24"/>
        </w:rPr>
        <w:fldChar w:fldCharType="separate"/>
      </w:r>
      <w:r>
        <w:rPr>
          <w:rFonts w:eastAsia="仿宋"/>
          <w:sz w:val="24"/>
        </w:rPr>
        <w:t>170</w:t>
      </w:r>
      <w:r>
        <w:rPr>
          <w:rFonts w:eastAsia="仿宋"/>
          <w:sz w:val="24"/>
        </w:rPr>
        <w:fldChar w:fldCharType="end"/>
      </w:r>
      <w:r>
        <w:rPr>
          <w:rFonts w:eastAsia="仿宋"/>
          <w:color w:val="auto"/>
          <w:sz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eastAsia="仿宋"/>
          <w:sz w:val="24"/>
        </w:rPr>
      </w:pPr>
      <w:r>
        <w:rPr>
          <w:rFonts w:eastAsia="仿宋"/>
          <w:color w:val="auto"/>
          <w:sz w:val="24"/>
        </w:rPr>
        <w:fldChar w:fldCharType="begin"/>
      </w:r>
      <w:r>
        <w:rPr>
          <w:rFonts w:eastAsia="仿宋"/>
          <w:sz w:val="24"/>
        </w:rPr>
        <w:instrText xml:space="preserve"> HYPERLINK \l _Toc17734 </w:instrText>
      </w:r>
      <w:r>
        <w:rPr>
          <w:rFonts w:eastAsia="仿宋"/>
          <w:sz w:val="24"/>
        </w:rPr>
        <w:fldChar w:fldCharType="separate"/>
      </w:r>
      <w:r>
        <w:rPr>
          <w:rFonts w:hint="eastAsia" w:eastAsia="仿宋"/>
          <w:sz w:val="24"/>
        </w:rPr>
        <w:t>新教师培训制度</w:t>
      </w:r>
      <w:r>
        <w:rPr>
          <w:rFonts w:eastAsia="仿宋"/>
          <w:sz w:val="24"/>
        </w:rPr>
        <w:tab/>
      </w:r>
      <w:r>
        <w:rPr>
          <w:rFonts w:eastAsia="仿宋"/>
          <w:sz w:val="24"/>
        </w:rPr>
        <w:fldChar w:fldCharType="begin"/>
      </w:r>
      <w:r>
        <w:rPr>
          <w:rFonts w:eastAsia="仿宋"/>
          <w:sz w:val="24"/>
        </w:rPr>
        <w:instrText xml:space="preserve"> PAGEREF _Toc17734 </w:instrText>
      </w:r>
      <w:r>
        <w:rPr>
          <w:rFonts w:eastAsia="仿宋"/>
          <w:sz w:val="24"/>
        </w:rPr>
        <w:fldChar w:fldCharType="separate"/>
      </w:r>
      <w:r>
        <w:rPr>
          <w:rFonts w:eastAsia="仿宋"/>
          <w:sz w:val="24"/>
        </w:rPr>
        <w:t>172</w:t>
      </w:r>
      <w:r>
        <w:rPr>
          <w:rFonts w:eastAsia="仿宋"/>
          <w:sz w:val="24"/>
        </w:rPr>
        <w:fldChar w:fldCharType="end"/>
      </w:r>
      <w:r>
        <w:rPr>
          <w:rFonts w:eastAsia="仿宋"/>
          <w:color w:val="auto"/>
          <w:sz w:val="24"/>
        </w:rPr>
        <w:fldChar w:fldCharType="end"/>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eastAsia="仿宋"/>
          <w:color w:val="auto"/>
          <w:sz w:val="24"/>
        </w:rPr>
      </w:pPr>
      <w:r>
        <w:rPr>
          <w:rFonts w:eastAsia="仿宋"/>
          <w:color w:val="auto"/>
          <w:sz w:val="24"/>
        </w:rPr>
        <w:fldChar w:fldCharType="end"/>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olor w:val="auto"/>
        </w:rPr>
      </w:pPr>
      <w:r>
        <w:rPr>
          <w:rFonts w:hint="eastAsia"/>
          <w:color w:val="auto"/>
        </w:rPr>
        <w:br w:type="page"/>
      </w:r>
    </w:p>
    <w:p>
      <w:pPr>
        <w:pStyle w:val="2"/>
        <w:bidi w:val="0"/>
        <w:jc w:val="center"/>
        <w:rPr>
          <w:rFonts w:hint="eastAsia"/>
          <w:color w:val="auto"/>
        </w:rPr>
      </w:pPr>
      <w:bookmarkStart w:id="0" w:name="_Toc5603"/>
      <w:r>
        <w:rPr>
          <w:rFonts w:hint="eastAsia"/>
          <w:color w:val="auto"/>
        </w:rPr>
        <w:t>第一部分  教学组织与</w:t>
      </w:r>
      <w:r>
        <w:rPr>
          <w:color w:val="auto"/>
        </w:rPr>
        <w:t>培养方式</w:t>
      </w:r>
      <w:bookmarkEnd w:id="0"/>
    </w:p>
    <w:p>
      <w:pPr>
        <w:pStyle w:val="3"/>
        <w:bidi w:val="0"/>
        <w:jc w:val="center"/>
        <w:rPr>
          <w:rFonts w:hint="eastAsia"/>
          <w:color w:val="auto"/>
          <w:lang w:val="en-US" w:eastAsia="zh-CN"/>
        </w:rPr>
      </w:pPr>
      <w:bookmarkStart w:id="1" w:name="_Toc6934"/>
      <w:r>
        <w:rPr>
          <w:rFonts w:hint="eastAsia"/>
          <w:color w:val="auto"/>
        </w:rPr>
        <w:t>学生</w:t>
      </w:r>
      <w:r>
        <w:rPr>
          <w:rFonts w:hint="eastAsia"/>
          <w:color w:val="auto"/>
          <w:lang w:eastAsia="zh-CN"/>
        </w:rPr>
        <w:t>校本部集中</w:t>
      </w:r>
      <w:r>
        <w:rPr>
          <w:rFonts w:hint="eastAsia"/>
          <w:color w:val="auto"/>
        </w:rPr>
        <w:t>就读</w:t>
      </w:r>
      <w:bookmarkEnd w:id="1"/>
      <w:r>
        <w:rPr>
          <w:rFonts w:hint="eastAsia"/>
          <w:color w:val="auto"/>
          <w:lang w:val="en-US" w:eastAsia="zh-CN"/>
        </w:rPr>
        <w:t xml:space="preserve"> </w:t>
      </w:r>
    </w:p>
    <w:p>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广东江门中医药职业学院2020级（春季）（第二期高职扩招专项）</w:t>
      </w:r>
      <w:r>
        <w:rPr>
          <w:rFonts w:hint="eastAsia" w:ascii="宋体" w:hAnsi="宋体" w:eastAsia="宋体" w:cs="宋体"/>
          <w:color w:val="auto"/>
          <w:kern w:val="0"/>
          <w:sz w:val="24"/>
          <w:szCs w:val="24"/>
        </w:rPr>
        <w:t>的学生生源均为广东省基层医疗卫生机构在职员工、外省户籍且累计具有我省1年（含）以上社保(社保计算年限为2020年3月31日)的我省医疗卫生机构在职员工。为</w:t>
      </w:r>
      <w:r>
        <w:rPr>
          <w:rFonts w:hint="eastAsia" w:ascii="宋体" w:hAnsi="宋体" w:eastAsia="宋体" w:cs="宋体"/>
          <w:color w:val="auto"/>
          <w:kern w:val="0"/>
          <w:sz w:val="24"/>
          <w:szCs w:val="24"/>
          <w:lang w:eastAsia="zh-CN"/>
        </w:rPr>
        <w:t>保障教学质量教学点全部设在广东江门中医药职业学院校本部</w:t>
      </w:r>
      <w:r>
        <w:rPr>
          <w:rFonts w:hint="eastAsia" w:ascii="宋体" w:hAnsi="宋体" w:eastAsia="宋体" w:cs="宋体"/>
          <w:color w:val="auto"/>
          <w:kern w:val="0"/>
          <w:sz w:val="24"/>
          <w:szCs w:val="24"/>
        </w:rPr>
        <w:t>。</w:t>
      </w:r>
    </w:p>
    <w:p>
      <w:pPr>
        <w:pStyle w:val="3"/>
        <w:bidi w:val="0"/>
        <w:jc w:val="center"/>
        <w:rPr>
          <w:rFonts w:hint="eastAsia"/>
          <w:b/>
          <w:color w:val="auto"/>
        </w:rPr>
      </w:pPr>
      <w:bookmarkStart w:id="2" w:name="_Toc31455"/>
      <w:r>
        <w:rPr>
          <w:rFonts w:hint="eastAsia"/>
          <w:b/>
          <w:color w:val="auto"/>
        </w:rPr>
        <w:t>教学组织与培养方式</w:t>
      </w:r>
      <w:bookmarkEnd w:id="2"/>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坚持在岗培养与学校培养相结合、集中教学和分散教学相结合的</w:t>
      </w:r>
      <w:r>
        <w:rPr>
          <w:rFonts w:hint="eastAsia" w:ascii="宋体" w:hAnsi="宋体" w:eastAsia="宋体" w:cs="宋体"/>
          <w:color w:val="auto"/>
          <w:kern w:val="0"/>
          <w:sz w:val="24"/>
          <w:szCs w:val="24"/>
          <w:lang w:eastAsia="zh-CN"/>
        </w:rPr>
        <w:t>人才培养模式，实施工学交替、线上线下混合教学，采用集中面授</w:t>
      </w:r>
      <w:r>
        <w:rPr>
          <w:rFonts w:hint="eastAsia" w:ascii="宋体" w:hAnsi="宋体" w:eastAsia="宋体" w:cs="宋体"/>
          <w:color w:val="auto"/>
          <w:kern w:val="0"/>
          <w:sz w:val="24"/>
          <w:szCs w:val="24"/>
          <w:lang w:val="zh-CN" w:eastAsia="zh-CN"/>
        </w:rPr>
        <w:t>、网络答疑、专题讲座、教学研讨等多种方式，分类实施教学。学生平时在岗学习，周五晚上、周末、节假日在教学点集中面授</w:t>
      </w:r>
      <w:r>
        <w:rPr>
          <w:rFonts w:hint="eastAsia" w:ascii="宋体" w:hAnsi="宋体" w:eastAsia="宋体" w:cs="宋体"/>
          <w:color w:val="auto"/>
          <w:kern w:val="0"/>
          <w:sz w:val="24"/>
          <w:szCs w:val="24"/>
          <w:lang w:eastAsia="zh-CN"/>
        </w:rPr>
        <w:t>和辅导</w:t>
      </w:r>
      <w:r>
        <w:rPr>
          <w:rFonts w:hint="eastAsia" w:ascii="宋体" w:hAnsi="宋体" w:eastAsia="宋体" w:cs="宋体"/>
          <w:color w:val="auto"/>
          <w:kern w:val="0"/>
          <w:sz w:val="24"/>
          <w:szCs w:val="24"/>
          <w:lang w:val="zh-CN" w:eastAsia="zh-CN"/>
        </w:rPr>
        <w:t>。每学期教学安排为20周，其中最后2周为复习考试周。</w:t>
      </w:r>
      <w:r>
        <w:rPr>
          <w:rFonts w:hint="eastAsia" w:ascii="宋体" w:hAnsi="宋体" w:eastAsia="宋体" w:cs="宋体"/>
          <w:color w:val="auto"/>
          <w:kern w:val="0"/>
          <w:sz w:val="24"/>
          <w:szCs w:val="24"/>
          <w:lang w:eastAsia="zh-CN"/>
        </w:rPr>
        <w:t>课程考核实行教考分离，由广东江门中医药职业学院教务部组织命题，在课程学习结束时，统一考试。</w:t>
      </w:r>
    </w:p>
    <w:p>
      <w:pPr>
        <w:widowControl/>
        <w:spacing w:line="360" w:lineRule="auto"/>
        <w:ind w:firstLine="480" w:firstLineChars="2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线下教学</w:t>
      </w:r>
      <w:r>
        <w:rPr>
          <w:rFonts w:hint="eastAsia" w:ascii="宋体" w:hAnsi="宋体" w:eastAsia="宋体" w:cs="宋体"/>
          <w:color w:val="auto"/>
          <w:kern w:val="0"/>
          <w:sz w:val="24"/>
          <w:szCs w:val="24"/>
          <w:lang w:val="zh-CN" w:eastAsia="zh-CN"/>
        </w:rPr>
        <w:t>集中面授</w:t>
      </w:r>
      <w:r>
        <w:rPr>
          <w:rFonts w:hint="eastAsia" w:ascii="宋体" w:hAnsi="宋体" w:eastAsia="宋体" w:cs="宋体"/>
          <w:color w:val="auto"/>
          <w:kern w:val="0"/>
          <w:sz w:val="24"/>
          <w:szCs w:val="24"/>
          <w:lang w:eastAsia="zh-CN"/>
        </w:rPr>
        <w:t>和辅导的地点分设在广东江门中医药职业学院，学生根据学院统一安排返回学院参加面授。面授期间，任课老师严格考勤，凡缺课课时累计超过该课程总课时1/4者，取消本课程考试资格。</w:t>
      </w:r>
    </w:p>
    <w:p>
      <w:pPr>
        <w:widowControl/>
        <w:spacing w:line="360" w:lineRule="auto"/>
        <w:ind w:firstLine="480" w:firstLineChars="2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br w:type="page"/>
      </w:r>
    </w:p>
    <w:p>
      <w:pPr>
        <w:pStyle w:val="2"/>
        <w:bidi w:val="0"/>
        <w:jc w:val="center"/>
        <w:rPr>
          <w:rFonts w:hint="eastAsia" w:ascii="宋体" w:hAnsi="宋体" w:eastAsia="宋体" w:cs="宋体"/>
          <w:b/>
          <w:color w:val="auto"/>
          <w:sz w:val="32"/>
          <w:szCs w:val="32"/>
          <w:lang w:val="zh-CN" w:eastAsia="zh-CN" w:bidi="zh-CN"/>
        </w:rPr>
      </w:pPr>
      <w:bookmarkStart w:id="3" w:name="_Toc10828"/>
      <w:r>
        <w:rPr>
          <w:rFonts w:hint="eastAsia"/>
          <w:b/>
          <w:color w:val="auto"/>
          <w:lang w:eastAsia="zh-CN"/>
        </w:rPr>
        <w:t xml:space="preserve">第二部分  </w:t>
      </w:r>
      <w:r>
        <w:rPr>
          <w:rFonts w:hint="eastAsia"/>
          <w:b/>
          <w:color w:val="auto"/>
          <w:lang w:val="zh-CN" w:eastAsia="zh-CN"/>
        </w:rPr>
        <w:t>教育教学改革</w:t>
      </w:r>
      <w:bookmarkEnd w:id="3"/>
    </w:p>
    <w:p>
      <w:pPr>
        <w:pStyle w:val="3"/>
        <w:bidi w:val="0"/>
        <w:jc w:val="center"/>
        <w:rPr>
          <w:rFonts w:hint="eastAsia"/>
          <w:b/>
          <w:color w:val="auto"/>
          <w:lang w:val="zh-CN"/>
        </w:rPr>
      </w:pPr>
      <w:bookmarkStart w:id="4" w:name="_Toc6363"/>
      <w:r>
        <w:rPr>
          <w:rFonts w:hint="eastAsia"/>
          <w:b/>
          <w:color w:val="auto"/>
          <w:lang w:val="zh-CN"/>
        </w:rPr>
        <w:t>线上线下混合教学</w:t>
      </w:r>
      <w:bookmarkEnd w:id="4"/>
    </w:p>
    <w:p>
      <w:pPr>
        <w:widowControl/>
        <w:spacing w:line="360" w:lineRule="auto"/>
        <w:ind w:firstLine="480" w:firstLineChars="2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zh-CN" w:eastAsia="zh-CN"/>
        </w:rPr>
        <w:t>落实立德树人根本任务，坚持因材施教，突出技能培养，全面落实人才培养方案。充分利用优质数字化教学资源，实施线上线下混合教学，其中</w:t>
      </w:r>
      <w:r>
        <w:rPr>
          <w:rFonts w:hint="eastAsia" w:ascii="宋体" w:hAnsi="宋体" w:eastAsia="宋体" w:cs="宋体"/>
          <w:color w:val="auto"/>
          <w:kern w:val="0"/>
          <w:sz w:val="24"/>
          <w:szCs w:val="24"/>
          <w:lang w:eastAsia="zh-CN"/>
        </w:rPr>
        <w:t>线上教学占60%，线下教学占40%。线上、线下教学任务由广东江门中医药职业学院教务部负责完成。</w:t>
      </w:r>
    </w:p>
    <w:p>
      <w:pPr>
        <w:widowControl/>
        <w:spacing w:line="360" w:lineRule="auto"/>
        <w:ind w:firstLine="480" w:firstLineChars="2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zh-CN" w:eastAsia="zh-CN"/>
        </w:rPr>
        <w:t>开展以学生为中心的教法改革，实行灵活多元的教学模式。</w:t>
      </w:r>
      <w:r>
        <w:rPr>
          <w:rFonts w:hint="eastAsia" w:ascii="宋体" w:hAnsi="宋体" w:eastAsia="宋体" w:cs="宋体"/>
          <w:color w:val="auto"/>
          <w:kern w:val="0"/>
          <w:sz w:val="24"/>
          <w:szCs w:val="24"/>
          <w:lang w:eastAsia="zh-CN"/>
        </w:rPr>
        <w:t>在教学过程中,注重传统教学方法与现代教育技术和手段相结合，积极倡导新型教学方法，广泛</w:t>
      </w:r>
      <w:r>
        <w:rPr>
          <w:rFonts w:hint="eastAsia" w:ascii="宋体" w:hAnsi="宋体" w:eastAsia="宋体" w:cs="宋体"/>
          <w:color w:val="auto"/>
          <w:kern w:val="0"/>
          <w:sz w:val="24"/>
          <w:szCs w:val="24"/>
          <w:lang w:val="zh-CN" w:eastAsia="zh-CN"/>
        </w:rPr>
        <w:t>运用工作过程导向、项目导向、案例分析、</w:t>
      </w:r>
      <w:r>
        <w:rPr>
          <w:rFonts w:hint="eastAsia" w:ascii="宋体" w:hAnsi="宋体" w:eastAsia="宋体" w:cs="宋体"/>
          <w:color w:val="auto"/>
          <w:kern w:val="0"/>
          <w:sz w:val="24"/>
          <w:szCs w:val="24"/>
          <w:lang w:eastAsia="zh-CN"/>
        </w:rPr>
        <w:t>角色扮演和临床实践（见习和实习）等教学方法，充分调动学生学习的积极性，加强三基训练（基本理论、基本知识和基本技能）和临床实践，有效培养学生自学能力、实践能力、创新能力、独立分析和解决问题能力。</w:t>
      </w:r>
    </w:p>
    <w:p>
      <w:pPr>
        <w:widowControl/>
        <w:spacing w:line="360" w:lineRule="auto"/>
        <w:ind w:firstLine="480" w:firstLineChars="200"/>
        <w:jc w:val="left"/>
        <w:rPr>
          <w:rFonts w:hint="eastAsia" w:ascii="宋体" w:hAnsi="宋体" w:eastAsia="宋体" w:cs="宋体"/>
          <w:color w:val="auto"/>
          <w:kern w:val="0"/>
          <w:sz w:val="24"/>
          <w:szCs w:val="24"/>
        </w:rPr>
      </w:pPr>
    </w:p>
    <w:p>
      <w:pPr>
        <w:pStyle w:val="3"/>
        <w:bidi w:val="0"/>
        <w:jc w:val="center"/>
        <w:rPr>
          <w:rFonts w:hint="eastAsia"/>
          <w:b/>
          <w:color w:val="auto"/>
          <w:lang w:val="zh-CN"/>
        </w:rPr>
      </w:pPr>
      <w:bookmarkStart w:id="5" w:name="_Toc23323"/>
      <w:r>
        <w:rPr>
          <w:rFonts w:hint="eastAsia"/>
          <w:b/>
          <w:color w:val="auto"/>
          <w:lang w:val="zh-CN"/>
        </w:rPr>
        <w:t>学习成果认定与学分转换</w:t>
      </w:r>
      <w:bookmarkEnd w:id="5"/>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为贯彻落实《教育部关于推进高等教育学分认定和转换工作的意见》、《广东省教育厅关于高等教育学分认定和转换工作实施意见（试行）》、《教育部办公厅关于做好扩招后高职教育教学管理工作的指导意见》和《广东省教育厅关于组织高职院校面向社会人员做好普通高等职业教育人才培养工作的通知》精神，探索开展基层卫生人才的学习成果认定与转换制度改革。构建开放灵活的终身学习体二级学院，畅通学历教育与非学历教育、校内教育与校外教育之间转换通道，实现高职扩招下基层卫生人才培养的学分认定、积累和转换，满足个人多样化的学习和发展需要，搭建人才成长“立交桥”，成为全民学习、终身学习的学习型社会的有力支撑。</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学习成果认定的类别包括学生已有的职业经历、国家职业资格证书、非国家职业资格证书、培训证书、业绩类成果（包括个人取得学术、职业或其他方面的成果，包括但不限于创新创业、科学研究、社会服务、文化传承、竞赛奖励等）等。经学校认定后可折算成相应学分或免修相应课程。原则上，学生学习成果认定和转换的全部学分不得超过相关专业毕业总学分的50%。内容相同或相近的国家职业资格证书、培训证书、竞赛奖励等成果不得重复转换，以最高级所认定的学分进行转换。</w:t>
      </w:r>
    </w:p>
    <w:p>
      <w:pPr>
        <w:spacing w:line="360" w:lineRule="auto"/>
        <w:ind w:firstLine="420" w:firstLineChars="200"/>
        <w:rPr>
          <w:rFonts w:hint="eastAsia" w:ascii="宋体" w:hAnsi="宋体" w:eastAsia="宋体" w:cs="Times New Roman"/>
          <w:color w:val="auto"/>
          <w:szCs w:val="21"/>
        </w:rPr>
      </w:pPr>
    </w:p>
    <w:p>
      <w:pPr>
        <w:pStyle w:val="3"/>
        <w:bidi w:val="0"/>
        <w:jc w:val="center"/>
        <w:rPr>
          <w:rFonts w:hint="eastAsia"/>
          <w:b/>
          <w:color w:val="auto"/>
        </w:rPr>
      </w:pPr>
      <w:bookmarkStart w:id="6" w:name="_Toc7491"/>
      <w:r>
        <w:rPr>
          <w:rFonts w:hint="eastAsia"/>
          <w:b/>
          <w:color w:val="auto"/>
        </w:rPr>
        <w:t>学生学习评价</w:t>
      </w:r>
      <w:bookmarkEnd w:id="6"/>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切实加强学生学习过程考核管理，采取灵活多样的考试和考核形式，突出过程性考核。课程考核实施“过程性考核与终结考核相结合、理论考核与技能考核相结合、学业考核与职业态度考核相结合”的考核方式。考核内容以职业岗位能力为导向，以专业岗位技能操作和分析问题、解决问题为重点。每门课程的考核成绩由形成性考核成绩（40%）和课程终结考核成绩（60%）构成。</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形成性考核成绩包括作业（含实验报告）、学习过程考核（含阶段性理论考核与技能考核）、职业态度（含学习态度）等；课程终结考核包括理论、技能考核。理论和技能考核成绩比例根据每门课程教学计划中的理实课时比例设定。</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bookmarkStart w:id="7" w:name="_Toc5422"/>
      <w:bookmarkStart w:id="8" w:name="_Toc25466"/>
      <w:r>
        <w:rPr>
          <w:rFonts w:hint="eastAsia" w:ascii="宋体" w:hAnsi="宋体" w:eastAsia="宋体" w:cs="宋体"/>
          <w:color w:val="auto"/>
          <w:kern w:val="0"/>
          <w:sz w:val="24"/>
          <w:szCs w:val="24"/>
          <w:lang w:val="zh-CN" w:eastAsia="zh-CN"/>
        </w:rPr>
        <w:t>形成性考核（40%）</w:t>
      </w:r>
      <w:bookmarkEnd w:id="7"/>
      <w:bookmarkEnd w:id="8"/>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1.作业（含实验报告，占10%）：根据不同的教学内容（知识模块），在教学过程中布置多次不同形式的作业，以综合性的题目为主（部分题目的内容可超出教材，让学生以小组合作方式查资料。学会学习，扩大知识面，培养团队协作精神和综合分析能力）。</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2.学习过程考核（25%）</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学习过程考核含阶段性理论考核与技能考核。理论和技能考核成绩比例根据每门课程教学计划中的理实课时比例而定。</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理论考核：把课程（项目）的教学内容以知识模块为单位进行阶段性考核。重点考核记忆性、综合性的教学内容。</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技能学习过程考核：在每一次实训教学过程中，对部分学生的每一操作过程、步骤、协助能力、动手能力等进行考核，把多次的考核结果作为该生的技能教学过程考核成绩。</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职业态度（含学习态度，5%） 学生在学习过程中的学习态度、组织纪律、考勤、沟通能力、团结协助精神、责任心和对本专业的认识。</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bookmarkStart w:id="9" w:name="_Toc9622"/>
      <w:bookmarkStart w:id="10" w:name="_Toc28367"/>
      <w:r>
        <w:rPr>
          <w:rFonts w:hint="eastAsia" w:ascii="宋体" w:hAnsi="宋体" w:eastAsia="宋体" w:cs="宋体"/>
          <w:color w:val="auto"/>
          <w:kern w:val="0"/>
          <w:sz w:val="24"/>
          <w:szCs w:val="24"/>
          <w:lang w:val="zh-CN" w:eastAsia="zh-CN"/>
        </w:rPr>
        <w:t>二、课程（项目）终结考核（60%）</w:t>
      </w:r>
      <w:bookmarkEnd w:id="9"/>
      <w:bookmarkEnd w:id="10"/>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1.技能考核：课程（项目）结束，随机抽2～3项实训项目进行考核。</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2.理论考核：课程（项目）结束，对学生进行一次综合性的理论考核，考核的题型可参照行业执业考试的题型。包括：①A1型题[共30题，每题1分，总计30分]；②A2型题[共20题，每题1分，总计20分]；③A3型题[共20题，每题1分，总计20分]；④B1型题[共30题，每题1分，总计30分]。</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t>专业基础课、专业课参照执业资格证考试的题型进行综合考核，公共课（英语、计算机）的综合考核参照高校统考的题型或以传统题型进行考核，考查课考核参照执行。</w:t>
      </w:r>
    </w:p>
    <w:p>
      <w:pPr>
        <w:widowControl/>
        <w:spacing w:line="360" w:lineRule="auto"/>
        <w:ind w:firstLine="480" w:firstLineChars="200"/>
        <w:jc w:val="left"/>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zh-CN" w:eastAsia="zh-CN"/>
        </w:rPr>
        <w:br w:type="page"/>
      </w:r>
    </w:p>
    <w:p>
      <w:pPr>
        <w:pStyle w:val="2"/>
        <w:numPr>
          <w:ilvl w:val="0"/>
          <w:numId w:val="1"/>
        </w:numPr>
        <w:bidi w:val="0"/>
        <w:jc w:val="center"/>
        <w:rPr>
          <w:rFonts w:hint="eastAsia"/>
          <w:b/>
          <w:color w:val="auto"/>
        </w:rPr>
      </w:pPr>
      <w:r>
        <w:rPr>
          <w:rFonts w:hint="eastAsia"/>
          <w:b/>
          <w:color w:val="auto"/>
        </w:rPr>
        <w:t xml:space="preserve"> </w:t>
      </w:r>
      <w:bookmarkStart w:id="11" w:name="_Toc25599"/>
      <w:r>
        <w:rPr>
          <w:rFonts w:hint="eastAsia"/>
          <w:b/>
          <w:color w:val="auto"/>
        </w:rPr>
        <w:t>教学常规管理制度</w:t>
      </w:r>
      <w:bookmarkEnd w:id="11"/>
    </w:p>
    <w:p>
      <w:pPr>
        <w:pStyle w:val="3"/>
        <w:bidi w:val="0"/>
        <w:jc w:val="center"/>
        <w:rPr>
          <w:rFonts w:hint="eastAsia"/>
          <w:b/>
          <w:color w:val="auto"/>
        </w:rPr>
      </w:pPr>
      <w:bookmarkStart w:id="12" w:name="_Toc12384"/>
      <w:r>
        <w:rPr>
          <w:rFonts w:hint="eastAsia"/>
          <w:b/>
          <w:color w:val="auto"/>
        </w:rPr>
        <w:t>教学指导委员会工作制度</w:t>
      </w:r>
      <w:bookmarkEnd w:id="12"/>
    </w:p>
    <w:p>
      <w:pPr>
        <w:widowControl/>
        <w:spacing w:line="360" w:lineRule="auto"/>
        <w:jc w:val="center"/>
        <w:rPr>
          <w:rFonts w:ascii="宋体" w:hAnsi="宋体" w:eastAsia="宋体" w:cs="宋体"/>
          <w:b/>
          <w:color w:val="auto"/>
          <w:kern w:val="0"/>
          <w:sz w:val="24"/>
          <w:szCs w:val="24"/>
        </w:rPr>
      </w:pPr>
    </w:p>
    <w:p>
      <w:pPr>
        <w:widowControl/>
        <w:spacing w:line="360" w:lineRule="auto"/>
        <w:jc w:val="center"/>
        <w:rPr>
          <w:rFonts w:ascii="宋体" w:hAnsi="宋体" w:eastAsia="宋体" w:cs="宋体"/>
          <w:b/>
          <w:color w:val="auto"/>
          <w:kern w:val="0"/>
          <w:sz w:val="24"/>
          <w:szCs w:val="24"/>
        </w:rPr>
      </w:pPr>
      <w:r>
        <w:rPr>
          <w:rFonts w:hint="eastAsia" w:ascii="宋体" w:hAnsi="宋体" w:eastAsia="宋体" w:cs="宋体"/>
          <w:b/>
          <w:color w:val="auto"/>
          <w:kern w:val="0"/>
          <w:sz w:val="24"/>
          <w:szCs w:val="24"/>
        </w:rPr>
        <w:t>第一章</w:t>
      </w:r>
      <w:r>
        <w:rPr>
          <w:rFonts w:hint="eastAsia" w:ascii="宋体" w:hAnsi="Calibri" w:eastAsia="宋体" w:cs="宋体"/>
          <w:b/>
          <w:color w:val="auto"/>
          <w:kern w:val="0"/>
          <w:sz w:val="24"/>
          <w:szCs w:val="24"/>
          <w:lang w:val="en-US" w:eastAsia="zh-CN"/>
        </w:rPr>
        <w:t xml:space="preserve"> </w:t>
      </w:r>
      <w:r>
        <w:rPr>
          <w:rFonts w:hint="eastAsia" w:ascii="宋体" w:hAnsi="宋体" w:eastAsia="宋体" w:cs="宋体"/>
          <w:b/>
          <w:color w:val="auto"/>
          <w:kern w:val="0"/>
          <w:sz w:val="24"/>
          <w:szCs w:val="24"/>
        </w:rPr>
        <w:t>总</w:t>
      </w:r>
      <w:r>
        <w:rPr>
          <w:rFonts w:hint="eastAsia" w:ascii="宋体" w:hAnsi="Calibri" w:eastAsia="宋体" w:cs="宋体"/>
          <w:b/>
          <w:color w:val="auto"/>
          <w:kern w:val="0"/>
          <w:sz w:val="24"/>
          <w:szCs w:val="24"/>
          <w:lang w:val="en-US" w:eastAsia="zh-CN"/>
        </w:rPr>
        <w:t xml:space="preserve"> </w:t>
      </w:r>
      <w:r>
        <w:rPr>
          <w:rFonts w:ascii="宋体" w:hAnsi="宋体" w:eastAsia="宋体" w:cs="宋体"/>
          <w:b/>
          <w:color w:val="auto"/>
          <w:kern w:val="0"/>
          <w:sz w:val="24"/>
          <w:szCs w:val="24"/>
        </w:rPr>
        <w:t xml:space="preserve"> </w:t>
      </w:r>
      <w:r>
        <w:rPr>
          <w:rFonts w:hint="eastAsia" w:ascii="宋体" w:hAnsi="宋体" w:eastAsia="宋体" w:cs="宋体"/>
          <w:b/>
          <w:color w:val="auto"/>
          <w:kern w:val="0"/>
          <w:sz w:val="24"/>
          <w:szCs w:val="24"/>
        </w:rPr>
        <w:t>则</w:t>
      </w:r>
      <w:r>
        <w:rPr>
          <w:rFonts w:ascii="宋体" w:hAnsi="宋体" w:eastAsia="宋体" w:cs="宋体"/>
          <w:b/>
          <w:color w:val="auto"/>
          <w:kern w:val="0"/>
          <w:sz w:val="24"/>
          <w:szCs w:val="24"/>
        </w:rPr>
        <w:t xml:space="preserve"> </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第一条</w:t>
      </w:r>
      <w:r>
        <w:rPr>
          <w:rFonts w:ascii="宋体" w:hAnsi="Calibri" w:eastAsia="宋体" w:cs="宋体"/>
          <w:color w:val="auto"/>
          <w:kern w:val="0"/>
          <w:sz w:val="24"/>
          <w:szCs w:val="24"/>
        </w:rPr>
        <w:t> </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为进一步提高人才培养质量，加强对教学工作的指导与管理，保证教学质量，推进教学改革，发挥专家、教授在教学管理中的作用，学院设置立广东江门中医药职业学院教学指导委员会</w:t>
      </w:r>
      <w:r>
        <w:rPr>
          <w:rFonts w:ascii="宋体" w:hAnsi="宋体" w:eastAsia="宋体" w:cs="宋体"/>
          <w:color w:val="auto"/>
          <w:kern w:val="0"/>
          <w:sz w:val="24"/>
          <w:szCs w:val="24"/>
        </w:rPr>
        <w:t>(</w:t>
      </w:r>
      <w:r>
        <w:rPr>
          <w:rFonts w:hint="eastAsia" w:ascii="宋体" w:hAnsi="宋体" w:eastAsia="宋体" w:cs="宋体"/>
          <w:color w:val="auto"/>
          <w:kern w:val="0"/>
          <w:sz w:val="24"/>
          <w:szCs w:val="24"/>
        </w:rPr>
        <w:t>以下简称“教指委”</w:t>
      </w:r>
      <w:r>
        <w:rPr>
          <w:rFonts w:ascii="宋体" w:hAnsi="宋体" w:eastAsia="宋体" w:cs="宋体"/>
          <w:color w:val="auto"/>
          <w:kern w:val="0"/>
          <w:sz w:val="24"/>
          <w:szCs w:val="24"/>
        </w:rPr>
        <w:t>)</w:t>
      </w:r>
      <w:r>
        <w:rPr>
          <w:rFonts w:hint="eastAsia" w:ascii="宋体" w:hAnsi="宋体" w:eastAsia="宋体" w:cs="宋体"/>
          <w:color w:val="auto"/>
          <w:kern w:val="0"/>
          <w:sz w:val="24"/>
          <w:szCs w:val="24"/>
        </w:rPr>
        <w:t>，并制定本章程。</w:t>
      </w:r>
      <w:r>
        <w:rPr>
          <w:rFonts w:ascii="宋体" w:hAnsi="宋体" w:eastAsia="宋体" w:cs="宋体"/>
          <w:color w:val="auto"/>
          <w:kern w:val="0"/>
          <w:sz w:val="24"/>
          <w:szCs w:val="24"/>
        </w:rPr>
        <w:t xml:space="preserve"> </w:t>
      </w:r>
    </w:p>
    <w:p>
      <w:pPr>
        <w:widowControl/>
        <w:spacing w:line="360" w:lineRule="auto"/>
        <w:ind w:left="483" w:leftChars="23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第二条</w:t>
      </w:r>
      <w:r>
        <w:rPr>
          <w:rFonts w:ascii="宋体" w:hAnsi="Calibri" w:eastAsia="宋体" w:cs="宋体"/>
          <w:color w:val="auto"/>
          <w:kern w:val="0"/>
          <w:sz w:val="24"/>
          <w:szCs w:val="24"/>
        </w:rPr>
        <w:t> </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教指委是学院教育教学工作的研究、指导、审议和咨询机构。</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第三条</w:t>
      </w:r>
      <w:r>
        <w:rPr>
          <w:rFonts w:ascii="宋体" w:hAnsi="Calibri" w:eastAsia="宋体" w:cs="宋体"/>
          <w:color w:val="auto"/>
          <w:kern w:val="0"/>
          <w:sz w:val="24"/>
          <w:szCs w:val="24"/>
        </w:rPr>
        <w:t> </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教指委在工作中要全面贯彻国家的教育方针，认真贯彻、执行上级的指示和要求，在对学院教学工作深入调查研究的基础上，对学院的专业建设、课程建设、教材建设、教学管理、教学研究与质量控制等方面提出建议和意见。对学院相关的职能部门以及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所提交的与人才培养有关的各项报告和方案进行指导和审议，并对实施情况进行监督。</w:t>
      </w:r>
      <w:r>
        <w:rPr>
          <w:rFonts w:ascii="宋体" w:hAnsi="宋体" w:eastAsia="宋体" w:cs="宋体"/>
          <w:color w:val="auto"/>
          <w:kern w:val="0"/>
          <w:sz w:val="24"/>
          <w:szCs w:val="24"/>
        </w:rPr>
        <w:t xml:space="preserve"> </w:t>
      </w:r>
    </w:p>
    <w:p>
      <w:pPr>
        <w:widowControl/>
        <w:spacing w:line="360" w:lineRule="auto"/>
        <w:jc w:val="center"/>
        <w:rPr>
          <w:rFonts w:ascii="宋体" w:hAnsi="宋体" w:eastAsia="宋体" w:cs="宋体"/>
          <w:b/>
          <w:color w:val="auto"/>
          <w:kern w:val="0"/>
          <w:sz w:val="24"/>
          <w:szCs w:val="24"/>
        </w:rPr>
      </w:pPr>
      <w:r>
        <w:rPr>
          <w:rFonts w:hint="eastAsia" w:ascii="宋体" w:hAnsi="宋体" w:eastAsia="宋体" w:cs="宋体"/>
          <w:b/>
          <w:color w:val="auto"/>
          <w:kern w:val="0"/>
          <w:sz w:val="24"/>
          <w:szCs w:val="24"/>
        </w:rPr>
        <w:t>第二章</w:t>
      </w:r>
      <w:r>
        <w:rPr>
          <w:rFonts w:hint="eastAsia" w:ascii="宋体" w:hAnsi="Calibri" w:eastAsia="宋体" w:cs="宋体"/>
          <w:b/>
          <w:color w:val="auto"/>
          <w:kern w:val="0"/>
          <w:sz w:val="24"/>
          <w:szCs w:val="24"/>
          <w:lang w:val="en-US" w:eastAsia="zh-CN"/>
        </w:rPr>
        <w:t xml:space="preserve"> </w:t>
      </w:r>
      <w:r>
        <w:rPr>
          <w:rFonts w:hint="eastAsia" w:ascii="宋体" w:hAnsi="宋体" w:eastAsia="宋体" w:cs="宋体"/>
          <w:b/>
          <w:color w:val="auto"/>
          <w:kern w:val="0"/>
          <w:sz w:val="24"/>
          <w:szCs w:val="24"/>
        </w:rPr>
        <w:t>组织机构</w:t>
      </w:r>
      <w:r>
        <w:rPr>
          <w:rFonts w:ascii="宋体" w:hAnsi="宋体" w:eastAsia="宋体" w:cs="宋体"/>
          <w:b/>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 xml:space="preserve">第四条  </w:t>
      </w:r>
      <w:r>
        <w:rPr>
          <w:rFonts w:hint="eastAsia" w:ascii="宋体" w:hAnsi="宋体" w:eastAsia="宋体" w:cs="宋体"/>
          <w:color w:val="auto"/>
          <w:kern w:val="0"/>
          <w:sz w:val="24"/>
          <w:szCs w:val="24"/>
        </w:rPr>
        <w:t>教指委设主任</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名，由学院院长担任；副主任</w:t>
      </w:r>
      <w:r>
        <w:rPr>
          <w:rFonts w:ascii="宋体" w:hAnsi="宋体" w:eastAsia="宋体" w:cs="宋体"/>
          <w:color w:val="auto"/>
          <w:kern w:val="0"/>
          <w:sz w:val="24"/>
          <w:szCs w:val="24"/>
        </w:rPr>
        <w:t>2-4</w:t>
      </w:r>
      <w:r>
        <w:rPr>
          <w:rFonts w:hint="eastAsia" w:ascii="宋体" w:hAnsi="宋体" w:eastAsia="宋体" w:cs="宋体"/>
          <w:color w:val="auto"/>
          <w:kern w:val="0"/>
          <w:sz w:val="24"/>
          <w:szCs w:val="24"/>
        </w:rPr>
        <w:t>名，由分管教学的副院长和相关专家担任；委员若干名。</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 xml:space="preserve">第五条  </w:t>
      </w:r>
      <w:r>
        <w:rPr>
          <w:rFonts w:hint="eastAsia" w:ascii="宋体" w:hAnsi="宋体" w:eastAsia="宋体" w:cs="宋体"/>
          <w:color w:val="auto"/>
          <w:kern w:val="0"/>
          <w:sz w:val="24"/>
          <w:szCs w:val="24"/>
        </w:rPr>
        <w:t>教指委委员一般由以下人员组成：</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（一）学院领导；</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（二）教学一线的专家、教授；</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（三）与教学相关的行政管理部门人员；</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（四）行业企业专家；</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教指委的组成应当充分考虑专业的平衡和委员的代表性。</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第六条</w:t>
      </w:r>
      <w:r>
        <w:rPr>
          <w:rFonts w:hint="eastAsia" w:ascii="宋体" w:hAnsi="Calibri" w:eastAsia="宋体" w:cs="宋体"/>
          <w:color w:val="auto"/>
          <w:kern w:val="0"/>
          <w:sz w:val="24"/>
          <w:szCs w:val="24"/>
        </w:rPr>
        <w:t xml:space="preserve">  </w:t>
      </w:r>
      <w:r>
        <w:rPr>
          <w:rFonts w:hint="eastAsia" w:ascii="宋体" w:hAnsi="宋体" w:eastAsia="宋体" w:cs="宋体"/>
          <w:color w:val="auto"/>
          <w:kern w:val="0"/>
          <w:sz w:val="24"/>
          <w:szCs w:val="24"/>
        </w:rPr>
        <w:t>教指委委员应具备下列条件：</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（一）思想政治素质好，具有高尚的道德情操和良好的职业操守，能认真履行职责，甘于奉献，作风正派，廉洁奉公；</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（二）对教育教学规律和人才培养工作有较高的研究水平，教学第一线或教学管理等相关工作经验丰富，各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、教学单位和相关职能部门的负责人及学院相关专业领域的专家、教授；</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（三）愿意为教学奉献智慧和热情，积极投身教学工作；</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（四）具有大局观，能从全局出发全面考虑学院的教学工作。</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第七条</w:t>
      </w:r>
      <w:r>
        <w:rPr>
          <w:rFonts w:hint="eastAsia" w:ascii="宋体" w:hAnsi="Calibri" w:eastAsia="宋体" w:cs="宋体"/>
          <w:color w:val="auto"/>
          <w:kern w:val="0"/>
          <w:sz w:val="24"/>
          <w:szCs w:val="24"/>
        </w:rPr>
        <w:t xml:space="preserve">  </w:t>
      </w:r>
      <w:r>
        <w:rPr>
          <w:rFonts w:hint="eastAsia" w:ascii="宋体" w:hAnsi="宋体" w:eastAsia="宋体" w:cs="宋体"/>
          <w:color w:val="auto"/>
          <w:kern w:val="0"/>
          <w:sz w:val="24"/>
          <w:szCs w:val="24"/>
        </w:rPr>
        <w:t>教指委委员有下列情形之一的，经教指委主任同意，可不再担任委员：</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（一）本人书面申请辞去委员职务的；</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（二）工作调离且不方便继续承担工作的；</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（三）委员以职务身份参加教指委工作，其职务发生变动的；</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（四）连续三次无故不出席委员会会议，或连续两年不参加委员会会议的；</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（五）违反本章程有关规定的；</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（六）因其他原因不能担任委员职务的。</w:t>
      </w:r>
      <w:r>
        <w:rPr>
          <w:rFonts w:ascii="宋体" w:hAnsi="Calibri" w:eastAsia="宋体" w:cs="宋体"/>
          <w:color w:val="auto"/>
          <w:kern w:val="0"/>
          <w:sz w:val="24"/>
          <w:szCs w:val="24"/>
        </w:rPr>
        <w:t> </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第八条</w:t>
      </w:r>
      <w:r>
        <w:rPr>
          <w:rFonts w:hint="eastAsia" w:ascii="宋体" w:hAnsi="Calibri" w:eastAsia="宋体" w:cs="宋体"/>
          <w:color w:val="auto"/>
          <w:kern w:val="0"/>
          <w:sz w:val="24"/>
          <w:szCs w:val="24"/>
        </w:rPr>
        <w:t xml:space="preserve">  </w:t>
      </w:r>
      <w:r>
        <w:rPr>
          <w:rFonts w:hint="eastAsia" w:ascii="宋体" w:hAnsi="宋体" w:eastAsia="宋体" w:cs="宋体"/>
          <w:color w:val="auto"/>
          <w:kern w:val="0"/>
          <w:sz w:val="24"/>
          <w:szCs w:val="24"/>
        </w:rPr>
        <w:t>根据工作需要，教指委可设立临时职能工作小组，其成员不限于教指委委员，可邀请校内行政职能部门人员、教学单位人员及校外专家参加职能工作小组。</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第九条</w:t>
      </w:r>
      <w:r>
        <w:rPr>
          <w:rFonts w:hint="eastAsia" w:ascii="宋体" w:hAnsi="Calibri" w:eastAsia="宋体" w:cs="宋体"/>
          <w:color w:val="auto"/>
          <w:kern w:val="0"/>
          <w:sz w:val="24"/>
          <w:szCs w:val="24"/>
        </w:rPr>
        <w:t xml:space="preserve">  </w:t>
      </w:r>
      <w:r>
        <w:rPr>
          <w:rFonts w:hint="eastAsia" w:ascii="宋体" w:hAnsi="宋体" w:eastAsia="宋体" w:cs="宋体"/>
          <w:color w:val="auto"/>
          <w:kern w:val="0"/>
          <w:sz w:val="24"/>
          <w:szCs w:val="24"/>
        </w:rPr>
        <w:t>设立教指委办公室，挂靠</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，是教指委的常设工作机构。</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长任办公室主任，秘书及工作人员另设。</w:t>
      </w:r>
      <w:r>
        <w:rPr>
          <w:rFonts w:ascii="宋体" w:hAnsi="宋体" w:eastAsia="宋体" w:cs="宋体"/>
          <w:color w:val="auto"/>
          <w:kern w:val="0"/>
          <w:sz w:val="24"/>
          <w:szCs w:val="24"/>
        </w:rPr>
        <w:t xml:space="preserve"> </w:t>
      </w:r>
    </w:p>
    <w:p>
      <w:pPr>
        <w:widowControl/>
        <w:spacing w:line="360" w:lineRule="auto"/>
        <w:jc w:val="center"/>
        <w:rPr>
          <w:rFonts w:ascii="宋体" w:hAnsi="宋体" w:eastAsia="宋体" w:cs="宋体"/>
          <w:b/>
          <w:color w:val="auto"/>
          <w:kern w:val="0"/>
          <w:sz w:val="24"/>
          <w:szCs w:val="24"/>
        </w:rPr>
      </w:pPr>
      <w:r>
        <w:rPr>
          <w:rFonts w:hint="eastAsia" w:ascii="宋体" w:hAnsi="宋体" w:eastAsia="宋体" w:cs="宋体"/>
          <w:b/>
          <w:color w:val="auto"/>
          <w:kern w:val="0"/>
          <w:sz w:val="24"/>
          <w:szCs w:val="24"/>
        </w:rPr>
        <w:t>第三章</w:t>
      </w:r>
      <w:r>
        <w:rPr>
          <w:rFonts w:hint="eastAsia" w:ascii="宋体" w:hAnsi="Calibri" w:eastAsia="宋体" w:cs="宋体"/>
          <w:b/>
          <w:color w:val="auto"/>
          <w:kern w:val="0"/>
          <w:sz w:val="24"/>
          <w:szCs w:val="24"/>
          <w:lang w:val="en-US" w:eastAsia="zh-CN"/>
        </w:rPr>
        <w:t xml:space="preserve"> </w:t>
      </w:r>
      <w:r>
        <w:rPr>
          <w:rFonts w:ascii="宋体" w:hAnsi="宋体" w:eastAsia="宋体" w:cs="宋体"/>
          <w:b/>
          <w:color w:val="auto"/>
          <w:kern w:val="0"/>
          <w:sz w:val="24"/>
          <w:szCs w:val="24"/>
        </w:rPr>
        <w:t xml:space="preserve"> </w:t>
      </w:r>
      <w:r>
        <w:rPr>
          <w:rFonts w:hint="eastAsia" w:ascii="宋体" w:hAnsi="宋体" w:eastAsia="宋体" w:cs="宋体"/>
          <w:b/>
          <w:color w:val="auto"/>
          <w:kern w:val="0"/>
          <w:sz w:val="24"/>
          <w:szCs w:val="24"/>
        </w:rPr>
        <w:t>职</w:t>
      </w:r>
      <w:r>
        <w:rPr>
          <w:rFonts w:hint="eastAsia" w:ascii="宋体" w:hAnsi="Calibri" w:eastAsia="宋体" w:cs="宋体"/>
          <w:b/>
          <w:color w:val="auto"/>
          <w:kern w:val="0"/>
          <w:sz w:val="24"/>
          <w:szCs w:val="24"/>
          <w:lang w:val="en-US" w:eastAsia="zh-CN"/>
        </w:rPr>
        <w:t xml:space="preserve"> </w:t>
      </w:r>
      <w:r>
        <w:rPr>
          <w:rFonts w:ascii="宋体" w:hAnsi="宋体" w:eastAsia="宋体" w:cs="宋体"/>
          <w:b/>
          <w:color w:val="auto"/>
          <w:kern w:val="0"/>
          <w:sz w:val="24"/>
          <w:szCs w:val="24"/>
        </w:rPr>
        <w:t xml:space="preserve"> </w:t>
      </w:r>
      <w:r>
        <w:rPr>
          <w:rFonts w:hint="eastAsia" w:ascii="宋体" w:hAnsi="宋体" w:eastAsia="宋体" w:cs="宋体"/>
          <w:b/>
          <w:color w:val="auto"/>
          <w:kern w:val="0"/>
          <w:sz w:val="24"/>
          <w:szCs w:val="24"/>
        </w:rPr>
        <w:t>责</w:t>
      </w:r>
      <w:r>
        <w:rPr>
          <w:rFonts w:ascii="宋体" w:hAnsi="宋体" w:eastAsia="宋体" w:cs="宋体"/>
          <w:b/>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第十条</w:t>
      </w:r>
      <w:r>
        <w:rPr>
          <w:rFonts w:hint="eastAsia" w:ascii="宋体" w:hAnsi="Calibri" w:eastAsia="宋体" w:cs="宋体"/>
          <w:color w:val="auto"/>
          <w:kern w:val="0"/>
          <w:sz w:val="24"/>
          <w:szCs w:val="24"/>
        </w:rPr>
        <w:t xml:space="preserve">  </w:t>
      </w:r>
      <w:r>
        <w:rPr>
          <w:rFonts w:hint="eastAsia" w:ascii="宋体" w:hAnsi="宋体" w:eastAsia="宋体" w:cs="宋体"/>
          <w:color w:val="auto"/>
          <w:kern w:val="0"/>
          <w:sz w:val="24"/>
          <w:szCs w:val="24"/>
        </w:rPr>
        <w:t>教指委对学院专业建设、人才培养和教学工作进行指导和审议，主要有以下职责：</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（一）指导和审核各专业人才培养方案；</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（二）指导和审议学院教学质量保障体</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（三）指导和审议教师使用、培养和发展规划；</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（四）审议课程建设、师资培养、实验（实训）室建设、实训基地建设等方面的有关规划、方案；</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（五）审议人才培养规划、年度招生计划等；</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（六）对学院的专业设置提出建议和意见。</w:t>
      </w:r>
      <w:r>
        <w:rPr>
          <w:rFonts w:ascii="宋体" w:hAnsi="宋体" w:eastAsia="宋体" w:cs="宋体"/>
          <w:color w:val="auto"/>
          <w:kern w:val="0"/>
          <w:sz w:val="24"/>
          <w:szCs w:val="24"/>
        </w:rPr>
        <w:t xml:space="preserve"> </w:t>
      </w:r>
    </w:p>
    <w:p>
      <w:pPr>
        <w:widowControl/>
        <w:spacing w:line="360" w:lineRule="auto"/>
        <w:jc w:val="center"/>
        <w:rPr>
          <w:rFonts w:ascii="宋体" w:hAnsi="宋体" w:eastAsia="宋体" w:cs="宋体"/>
          <w:b/>
          <w:color w:val="auto"/>
          <w:kern w:val="0"/>
          <w:sz w:val="24"/>
          <w:szCs w:val="24"/>
        </w:rPr>
      </w:pPr>
      <w:r>
        <w:rPr>
          <w:rFonts w:hint="eastAsia" w:ascii="宋体" w:hAnsi="宋体" w:eastAsia="宋体" w:cs="宋体"/>
          <w:b/>
          <w:color w:val="auto"/>
          <w:kern w:val="0"/>
          <w:sz w:val="24"/>
          <w:szCs w:val="24"/>
        </w:rPr>
        <w:t>第四章</w:t>
      </w:r>
      <w:r>
        <w:rPr>
          <w:rFonts w:hint="eastAsia" w:ascii="宋体" w:hAnsi="Calibri" w:eastAsia="宋体" w:cs="宋体"/>
          <w:b/>
          <w:color w:val="auto"/>
          <w:kern w:val="0"/>
          <w:sz w:val="24"/>
          <w:szCs w:val="24"/>
          <w:lang w:val="en-US" w:eastAsia="zh-CN"/>
        </w:rPr>
        <w:t xml:space="preserve"> </w:t>
      </w:r>
      <w:r>
        <w:rPr>
          <w:rFonts w:ascii="宋体" w:hAnsi="宋体" w:eastAsia="宋体" w:cs="宋体"/>
          <w:b/>
          <w:color w:val="auto"/>
          <w:kern w:val="0"/>
          <w:sz w:val="24"/>
          <w:szCs w:val="24"/>
        </w:rPr>
        <w:t xml:space="preserve"> </w:t>
      </w:r>
      <w:r>
        <w:rPr>
          <w:rFonts w:hint="eastAsia" w:ascii="宋体" w:hAnsi="宋体" w:eastAsia="宋体" w:cs="宋体"/>
          <w:b/>
          <w:color w:val="auto"/>
          <w:kern w:val="0"/>
          <w:sz w:val="24"/>
          <w:szCs w:val="24"/>
        </w:rPr>
        <w:t>工作方式</w:t>
      </w:r>
      <w:r>
        <w:rPr>
          <w:rFonts w:ascii="宋体" w:hAnsi="宋体" w:eastAsia="宋体" w:cs="宋体"/>
          <w:b/>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第十一条</w:t>
      </w:r>
      <w:r>
        <w:rPr>
          <w:rFonts w:hint="eastAsia" w:ascii="宋体" w:hAnsi="Calibri" w:eastAsia="宋体" w:cs="宋体"/>
          <w:color w:val="auto"/>
          <w:kern w:val="0"/>
          <w:sz w:val="24"/>
          <w:szCs w:val="24"/>
        </w:rPr>
        <w:t xml:space="preserve">  </w:t>
      </w:r>
      <w:r>
        <w:rPr>
          <w:rFonts w:hint="eastAsia" w:ascii="宋体" w:hAnsi="宋体" w:eastAsia="宋体" w:cs="宋体"/>
          <w:color w:val="auto"/>
          <w:kern w:val="0"/>
          <w:sz w:val="24"/>
          <w:szCs w:val="24"/>
        </w:rPr>
        <w:t>根据需要，教指委要及时召开会议，对具体工作进行调研、指导、审议和监督。必要时可召开专题会议，研究教学工作，提出建设性意见。</w:t>
      </w:r>
      <w:r>
        <w:rPr>
          <w:rFonts w:ascii="宋体" w:hAnsi="宋体" w:eastAsia="宋体" w:cs="宋体"/>
          <w:color w:val="auto"/>
          <w:kern w:val="0"/>
          <w:sz w:val="24"/>
          <w:szCs w:val="24"/>
        </w:rPr>
        <w:t xml:space="preserve"> </w:t>
      </w:r>
    </w:p>
    <w:p>
      <w:pPr>
        <w:widowControl/>
        <w:spacing w:line="360" w:lineRule="auto"/>
        <w:ind w:firstLine="64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第十二条</w:t>
      </w:r>
      <w:r>
        <w:rPr>
          <w:rFonts w:hint="eastAsia" w:ascii="宋体" w:hAnsi="Calibri" w:eastAsia="宋体" w:cs="宋体"/>
          <w:color w:val="auto"/>
          <w:kern w:val="0"/>
          <w:sz w:val="24"/>
          <w:szCs w:val="24"/>
        </w:rPr>
        <w:t xml:space="preserve">  </w:t>
      </w:r>
      <w:r>
        <w:rPr>
          <w:rFonts w:hint="eastAsia" w:ascii="宋体" w:hAnsi="宋体" w:eastAsia="宋体" w:cs="宋体"/>
          <w:color w:val="auto"/>
          <w:kern w:val="0"/>
          <w:sz w:val="24"/>
          <w:szCs w:val="24"/>
        </w:rPr>
        <w:t>教指委委员要严格遵守工作纪律，对所讨论的敏感问题要严守秘密；如讨论的议题与本人或直</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亲属相关，应实行回避。</w:t>
      </w:r>
      <w:r>
        <w:rPr>
          <w:rFonts w:ascii="宋体" w:hAnsi="宋体" w:eastAsia="宋体" w:cs="宋体"/>
          <w:color w:val="auto"/>
          <w:kern w:val="0"/>
          <w:sz w:val="24"/>
          <w:szCs w:val="24"/>
        </w:rPr>
        <w:t xml:space="preserve"> </w:t>
      </w:r>
    </w:p>
    <w:p>
      <w:pPr>
        <w:widowControl/>
        <w:jc w:val="left"/>
        <w:rPr>
          <w:rFonts w:ascii="宋体" w:hAnsi="Calibri" w:eastAsia="宋体" w:cs="Times New Roman"/>
          <w:bCs/>
          <w:color w:val="auto"/>
          <w:sz w:val="24"/>
          <w:szCs w:val="24"/>
        </w:rPr>
      </w:pPr>
      <w:r>
        <w:rPr>
          <w:rFonts w:ascii="宋体" w:hAnsi="Calibri" w:eastAsia="宋体" w:cs="Times New Roman"/>
          <w:bCs/>
          <w:color w:val="auto"/>
          <w:sz w:val="24"/>
          <w:szCs w:val="24"/>
        </w:rPr>
        <w:br w:type="page"/>
      </w:r>
    </w:p>
    <w:p>
      <w:pPr>
        <w:pStyle w:val="3"/>
        <w:bidi w:val="0"/>
        <w:jc w:val="center"/>
        <w:rPr>
          <w:rFonts w:hint="eastAsia"/>
          <w:b/>
          <w:color w:val="auto"/>
        </w:rPr>
      </w:pPr>
      <w:bookmarkStart w:id="13" w:name="_Toc20724"/>
      <w:r>
        <w:rPr>
          <w:rFonts w:hint="eastAsia"/>
          <w:b/>
          <w:color w:val="auto"/>
        </w:rPr>
        <w:t>教学工作例会制度</w:t>
      </w:r>
      <w:bookmarkEnd w:id="13"/>
    </w:p>
    <w:p>
      <w:pPr>
        <w:spacing w:line="360" w:lineRule="auto"/>
        <w:ind w:firstLine="482" w:firstLineChars="200"/>
        <w:rPr>
          <w:rFonts w:ascii="宋体" w:hAnsi="Calibri" w:eastAsia="宋体" w:cs="Times New Roman"/>
          <w:b/>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为进一步促进我院教学管理工作的制度化、规范化、科学化，提高教学管理水平和工作效率，保证教育教学质量，维护正常教学秩序，确保教学任务的完成，实现高素质应用型人才培养目标，特制定本制度。</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一、学院教学工作例会。</w:t>
      </w:r>
      <w:r>
        <w:rPr>
          <w:rFonts w:hint="eastAsia" w:ascii="宋体" w:hAnsi="宋体" w:eastAsia="宋体" w:cs="Times New Roman"/>
          <w:color w:val="auto"/>
          <w:sz w:val="24"/>
          <w:szCs w:val="24"/>
        </w:rPr>
        <w:t>由分管教学院长或</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长主持，</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正副处长、相关职能处室负责人、各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正副主任及有关教学管理等人员参加。学院教学工作例会原则上每学期至少召开</w:t>
      </w:r>
      <w:r>
        <w:rPr>
          <w:rFonts w:ascii="宋体" w:hAnsi="宋体" w:eastAsia="宋体" w:cs="Times New Roman"/>
          <w:color w:val="auto"/>
          <w:sz w:val="24"/>
          <w:szCs w:val="24"/>
        </w:rPr>
        <w:t>2</w:t>
      </w:r>
      <w:r>
        <w:rPr>
          <w:rFonts w:hint="eastAsia" w:ascii="宋体" w:hAnsi="宋体" w:eastAsia="宋体" w:cs="Times New Roman"/>
          <w:color w:val="auto"/>
          <w:sz w:val="24"/>
          <w:szCs w:val="24"/>
        </w:rPr>
        <w:t>次，遇有重要的紧急工作，可临时召开。例会的主要议题包括：</w:t>
      </w:r>
    </w:p>
    <w:p>
      <w:pPr>
        <w:widowControl w:val="0"/>
        <w:numPr>
          <w:ilvl w:val="2"/>
          <w:numId w:val="2"/>
        </w:numPr>
        <w:tabs>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传达、贯彻、研讨国家的教育方针政策和上级教育主管部门及院党委、行政会议的指示精神，讨论、制定学年、学期或阶段性教学工作计划。</w:t>
      </w:r>
    </w:p>
    <w:p>
      <w:pPr>
        <w:widowControl w:val="0"/>
        <w:numPr>
          <w:ilvl w:val="2"/>
          <w:numId w:val="2"/>
        </w:numPr>
        <w:tabs>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研究确定教学基本建设工作内容（如：师资培养、专业建设、课程建设、教材建设、实践教学基地建设、教风建设、管理制度建设等）。</w:t>
      </w:r>
    </w:p>
    <w:p>
      <w:pPr>
        <w:widowControl w:val="0"/>
        <w:numPr>
          <w:ilvl w:val="2"/>
          <w:numId w:val="2"/>
        </w:numPr>
        <w:tabs>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布置、总结学院的教学工作，通报教学工作进展情况及交流典型教学工作经验。</w:t>
      </w:r>
    </w:p>
    <w:p>
      <w:pPr>
        <w:widowControl w:val="0"/>
        <w:numPr>
          <w:ilvl w:val="2"/>
          <w:numId w:val="2"/>
        </w:numPr>
        <w:tabs>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总结近期工作并布置下阶段工作任务；讨论决定教学管理、教学改革方面的重大事项。</w:t>
      </w:r>
    </w:p>
    <w:p>
      <w:pPr>
        <w:widowControl w:val="0"/>
        <w:numPr>
          <w:ilvl w:val="2"/>
          <w:numId w:val="2"/>
        </w:numPr>
        <w:tabs>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汇报教学工作的完成情况，讨论和协调各二级学院工作中存在的重要问题。</w:t>
      </w:r>
    </w:p>
    <w:p>
      <w:pPr>
        <w:widowControl w:val="0"/>
        <w:numPr>
          <w:ilvl w:val="2"/>
          <w:numId w:val="2"/>
        </w:numPr>
        <w:tabs>
          <w:tab w:val="left" w:pos="880"/>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需要教学工作例会讨论决定的其它事项。</w:t>
      </w:r>
    </w:p>
    <w:p>
      <w:pPr>
        <w:tabs>
          <w:tab w:val="left" w:pos="709"/>
          <w:tab w:val="left" w:pos="851"/>
          <w:tab w:val="left" w:pos="1134"/>
        </w:tabs>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二、</w:t>
      </w:r>
      <w:r>
        <w:rPr>
          <w:rFonts w:hint="eastAsia" w:ascii="宋体" w:hAnsi="宋体" w:eastAsia="宋体" w:cs="Times New Roman"/>
          <w:b/>
          <w:color w:val="auto"/>
          <w:sz w:val="24"/>
          <w:szCs w:val="24"/>
          <w:lang w:eastAsia="zh-CN"/>
        </w:rPr>
        <w:t>二级学院</w:t>
      </w:r>
      <w:r>
        <w:rPr>
          <w:rFonts w:hint="eastAsia" w:ascii="宋体" w:hAnsi="宋体" w:eastAsia="宋体" w:cs="Times New Roman"/>
          <w:b/>
          <w:color w:val="auto"/>
          <w:sz w:val="24"/>
          <w:szCs w:val="24"/>
        </w:rPr>
        <w:t>教学工作例会。</w:t>
      </w:r>
      <w:r>
        <w:rPr>
          <w:rFonts w:hint="eastAsia" w:ascii="宋体" w:hAnsi="宋体" w:eastAsia="宋体" w:cs="Times New Roman"/>
          <w:color w:val="auto"/>
          <w:sz w:val="24"/>
          <w:szCs w:val="24"/>
        </w:rPr>
        <w:t>由</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主任主持，本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全体教职工参加。</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教学工作例会原则上在每月第一个星期三下午举行，遇有重要的紧急工作，可临时召开。主要议题是包括：</w:t>
      </w:r>
    </w:p>
    <w:p>
      <w:pPr>
        <w:widowControl w:val="0"/>
        <w:numPr>
          <w:ilvl w:val="2"/>
          <w:numId w:val="3"/>
        </w:numPr>
        <w:tabs>
          <w:tab w:val="left" w:pos="709"/>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传达、贯彻上级和学院下达的有关文件，学习有关会议精神，并组织实施。</w:t>
      </w:r>
    </w:p>
    <w:p>
      <w:pPr>
        <w:widowControl w:val="0"/>
        <w:numPr>
          <w:ilvl w:val="2"/>
          <w:numId w:val="3"/>
        </w:numPr>
        <w:tabs>
          <w:tab w:val="left" w:pos="709"/>
          <w:tab w:val="left" w:pos="851"/>
          <w:tab w:val="left" w:pos="880"/>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讨论研究本二级学院各专业的人才培养方案、课程设置和课程标准。</w:t>
      </w:r>
    </w:p>
    <w:p>
      <w:pPr>
        <w:widowControl w:val="0"/>
        <w:numPr>
          <w:ilvl w:val="2"/>
          <w:numId w:val="3"/>
        </w:numPr>
        <w:tabs>
          <w:tab w:val="left" w:pos="709"/>
          <w:tab w:val="left" w:pos="851"/>
          <w:tab w:val="left" w:pos="880"/>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讨论研究学院教学计划，教改方案等重大事项。</w:t>
      </w:r>
    </w:p>
    <w:p>
      <w:pPr>
        <w:widowControl w:val="0"/>
        <w:numPr>
          <w:ilvl w:val="2"/>
          <w:numId w:val="3"/>
        </w:numPr>
        <w:tabs>
          <w:tab w:val="left" w:pos="709"/>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总结、通报本二级学院教学工作情况，交流教学经验，解决教学工作中的重大问题。</w:t>
      </w:r>
    </w:p>
    <w:p>
      <w:pPr>
        <w:widowControl w:val="0"/>
        <w:numPr>
          <w:ilvl w:val="2"/>
          <w:numId w:val="3"/>
        </w:numPr>
        <w:tabs>
          <w:tab w:val="left" w:pos="709"/>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布置、安排和检查各项教学工作任务，统筹和协调教学工作的重要事项。</w:t>
      </w:r>
    </w:p>
    <w:p>
      <w:pPr>
        <w:widowControl w:val="0"/>
        <w:numPr>
          <w:ilvl w:val="2"/>
          <w:numId w:val="3"/>
        </w:numPr>
        <w:tabs>
          <w:tab w:val="left" w:pos="709"/>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研究教学基础建设（师资培养、课程建设、教材建设、实验（实训）室建设等）工作。</w:t>
      </w:r>
    </w:p>
    <w:p>
      <w:pPr>
        <w:widowControl w:val="0"/>
        <w:numPr>
          <w:ilvl w:val="2"/>
          <w:numId w:val="3"/>
        </w:numPr>
        <w:tabs>
          <w:tab w:val="left" w:pos="709"/>
          <w:tab w:val="left" w:pos="851"/>
          <w:tab w:val="left" w:pos="880"/>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需要教学工作例会讨论决定的其它事项。</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三、教研室教学工作会议。</w:t>
      </w:r>
      <w:r>
        <w:rPr>
          <w:rFonts w:hint="eastAsia" w:ascii="宋体" w:hAnsi="宋体" w:eastAsia="宋体" w:cs="Times New Roman"/>
          <w:color w:val="auto"/>
          <w:sz w:val="24"/>
          <w:szCs w:val="24"/>
        </w:rPr>
        <w:t>由教研室主任主持，本教研室全体教职工参加。教研室教学工作会议安排在每周星期三下午举行，遇有重要的紧急工作，可临时召开。会议的主要任务和内容包括：</w:t>
      </w:r>
    </w:p>
    <w:p>
      <w:pPr>
        <w:widowControl w:val="0"/>
        <w:numPr>
          <w:ilvl w:val="0"/>
          <w:numId w:val="4"/>
        </w:numPr>
        <w:tabs>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传达、贯彻上级和学院下达的有关文件，学习有关会议精神，组织实施学院教学工作计划。</w:t>
      </w:r>
    </w:p>
    <w:p>
      <w:pPr>
        <w:widowControl w:val="0"/>
        <w:numPr>
          <w:ilvl w:val="0"/>
          <w:numId w:val="4"/>
        </w:numPr>
        <w:tabs>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贯彻学院和二级学院教学工作例会决议，研究解决教学过程中存在的主要问题。</w:t>
      </w:r>
    </w:p>
    <w:p>
      <w:pPr>
        <w:widowControl w:val="0"/>
        <w:numPr>
          <w:ilvl w:val="0"/>
          <w:numId w:val="4"/>
        </w:numPr>
        <w:tabs>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分析、总结教学过程中的经验和存在问题，开展典型教学经验交流。</w:t>
      </w:r>
    </w:p>
    <w:p>
      <w:pPr>
        <w:widowControl w:val="0"/>
        <w:numPr>
          <w:ilvl w:val="0"/>
          <w:numId w:val="4"/>
        </w:numPr>
        <w:tabs>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布置、安排和检查各项教学工作任务，统筹和协调教学工作的重要事项。</w:t>
      </w:r>
    </w:p>
    <w:p>
      <w:pPr>
        <w:widowControl w:val="0"/>
        <w:numPr>
          <w:ilvl w:val="0"/>
          <w:numId w:val="4"/>
        </w:numPr>
        <w:tabs>
          <w:tab w:val="left" w:pos="851"/>
          <w:tab w:val="left" w:pos="1134"/>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需要教学工作会议讨论决定的其它事项。</w:t>
      </w:r>
    </w:p>
    <w:p>
      <w:pPr>
        <w:pStyle w:val="12"/>
        <w:rPr>
          <w:rFonts w:eastAsia="宋体" w:cs="Times New Roman"/>
          <w:color w:val="auto"/>
        </w:rPr>
      </w:pPr>
      <w:r>
        <w:rPr>
          <w:rFonts w:ascii="宋体" w:eastAsia="宋体" w:cs="Times New Roman"/>
          <w:bCs w:val="0"/>
          <w:color w:val="auto"/>
          <w:sz w:val="24"/>
          <w:szCs w:val="24"/>
        </w:rPr>
        <w:br w:type="page"/>
      </w:r>
      <w:bookmarkStart w:id="14" w:name="_Toc26563"/>
      <w:r>
        <w:rPr>
          <w:rStyle w:val="36"/>
          <w:rFonts w:hint="eastAsia"/>
          <w:b/>
          <w:color w:val="auto"/>
          <w:lang w:val="en-US" w:eastAsia="zh-CN"/>
        </w:rPr>
        <w:t>课堂教学质量检查与评价方案</w:t>
      </w:r>
      <w:bookmarkEnd w:id="14"/>
    </w:p>
    <w:p>
      <w:pPr>
        <w:pStyle w:val="5"/>
        <w:spacing w:line="360" w:lineRule="auto"/>
        <w:ind w:firstLine="480" w:firstLineChars="200"/>
        <w:rPr>
          <w:rFonts w:ascii="Calibri" w:hAnsi="Calibri" w:eastAsia="宋体" w:cs="Times New Roman"/>
          <w:color w:val="auto"/>
          <w:sz w:val="24"/>
        </w:rPr>
      </w:pPr>
    </w:p>
    <w:p>
      <w:pPr>
        <w:pStyle w:val="5"/>
        <w:spacing w:line="360" w:lineRule="auto"/>
        <w:ind w:left="0" w:leftChars="0" w:firstLine="480" w:firstLineChars="200"/>
        <w:rPr>
          <w:rFonts w:ascii="Calibri" w:hAnsi="Calibri" w:eastAsia="宋体" w:cs="Times New Roman"/>
          <w:color w:val="auto"/>
          <w:sz w:val="24"/>
        </w:rPr>
      </w:pPr>
      <w:r>
        <w:rPr>
          <w:rFonts w:hint="eastAsia" w:ascii="Calibri" w:hAnsi="Calibri" w:eastAsia="宋体" w:cs="Times New Roman"/>
          <w:color w:val="auto"/>
          <w:sz w:val="24"/>
        </w:rPr>
        <w:t>课堂教学是教育教学工作的中心环节，是培养人才的主要渠道。为促进教学人员不断提高课堂教学质量，特制定本方案。</w:t>
      </w:r>
    </w:p>
    <w:p>
      <w:pPr>
        <w:pStyle w:val="5"/>
        <w:spacing w:line="360" w:lineRule="auto"/>
        <w:ind w:left="0" w:leftChars="0" w:firstLine="482" w:firstLineChars="200"/>
        <w:rPr>
          <w:rFonts w:ascii="Calibri" w:hAnsi="Calibri" w:eastAsia="宋体" w:cs="Times New Roman"/>
          <w:b/>
          <w:color w:val="auto"/>
          <w:sz w:val="24"/>
        </w:rPr>
      </w:pPr>
      <w:r>
        <w:rPr>
          <w:rFonts w:hint="eastAsia" w:ascii="Calibri" w:hAnsi="Calibri" w:eastAsia="宋体" w:cs="Times New Roman"/>
          <w:b/>
          <w:color w:val="auto"/>
          <w:sz w:val="24"/>
        </w:rPr>
        <w:t>一、评价范围</w:t>
      </w:r>
    </w:p>
    <w:p>
      <w:pPr>
        <w:pStyle w:val="5"/>
        <w:spacing w:line="360" w:lineRule="auto"/>
        <w:ind w:left="0" w:leftChars="0" w:firstLine="480" w:firstLineChars="200"/>
        <w:rPr>
          <w:rFonts w:ascii="Calibri" w:hAnsi="Calibri" w:eastAsia="宋体" w:cs="Times New Roman"/>
          <w:color w:val="auto"/>
          <w:sz w:val="24"/>
        </w:rPr>
      </w:pPr>
      <w:r>
        <w:rPr>
          <w:rFonts w:hint="eastAsia" w:ascii="Calibri" w:hAnsi="Calibri" w:eastAsia="宋体" w:cs="宋体"/>
          <w:color w:val="auto"/>
          <w:sz w:val="24"/>
        </w:rPr>
        <w:t>教师课堂教学评价范围为承担我院全日制教学任务的所有专、兼职教师。</w:t>
      </w:r>
    </w:p>
    <w:p>
      <w:pPr>
        <w:pStyle w:val="5"/>
        <w:spacing w:line="360" w:lineRule="auto"/>
        <w:ind w:left="0" w:leftChars="0" w:firstLine="482" w:firstLineChars="200"/>
        <w:rPr>
          <w:rFonts w:ascii="Calibri" w:hAnsi="Calibri" w:eastAsia="宋体" w:cs="Times New Roman"/>
          <w:b/>
          <w:color w:val="auto"/>
          <w:sz w:val="24"/>
        </w:rPr>
      </w:pPr>
      <w:r>
        <w:rPr>
          <w:rFonts w:hint="eastAsia" w:ascii="Calibri" w:hAnsi="Calibri" w:eastAsia="宋体" w:cs="Times New Roman"/>
          <w:b/>
          <w:color w:val="auto"/>
          <w:sz w:val="24"/>
        </w:rPr>
        <w:t>二、评价目的</w:t>
      </w:r>
    </w:p>
    <w:p>
      <w:pPr>
        <w:autoSpaceDE w:val="0"/>
        <w:autoSpaceDN w:val="0"/>
        <w:adjustRightInd w:val="0"/>
        <w:snapToGri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（一）全面了解教师教学情况，督促教师将主要精力投入教学工作，不断提高教学水平，确保课堂教学质量。</w:t>
      </w:r>
    </w:p>
    <w:p>
      <w:pPr>
        <w:autoSpaceDE w:val="0"/>
        <w:autoSpaceDN w:val="0"/>
        <w:adjustRightInd w:val="0"/>
        <w:snapToGri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（二）帮助任课教师了解自己的优势与不足，不断改进教学内容和教学方法，进一步提高课堂教学水平和教学效果。</w:t>
      </w:r>
    </w:p>
    <w:p>
      <w:pPr>
        <w:autoSpaceDE w:val="0"/>
        <w:autoSpaceDN w:val="0"/>
        <w:adjustRightInd w:val="0"/>
        <w:snapToGri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（三）科学评价教师教学工作，为教师工作考核、评优、晋职晋级等提供重要依据和基本参考。</w:t>
      </w:r>
    </w:p>
    <w:p>
      <w:pPr>
        <w:pStyle w:val="5"/>
        <w:spacing w:line="360" w:lineRule="auto"/>
        <w:ind w:left="0" w:leftChars="0" w:firstLine="482" w:firstLineChars="200"/>
        <w:rPr>
          <w:rFonts w:ascii="Calibri" w:hAnsi="Calibri" w:eastAsia="宋体" w:cs="Times New Roman"/>
          <w:b/>
          <w:color w:val="auto"/>
          <w:sz w:val="24"/>
        </w:rPr>
      </w:pPr>
      <w:r>
        <w:rPr>
          <w:rFonts w:hint="eastAsia" w:ascii="Calibri" w:hAnsi="Calibri" w:eastAsia="宋体" w:cs="Times New Roman"/>
          <w:b/>
          <w:color w:val="auto"/>
          <w:sz w:val="24"/>
        </w:rPr>
        <w:t>三、评价原则</w:t>
      </w:r>
    </w:p>
    <w:p>
      <w:pPr>
        <w:pStyle w:val="5"/>
        <w:spacing w:line="360" w:lineRule="auto"/>
        <w:ind w:left="0" w:leftChars="0" w:firstLine="480" w:firstLineChars="200"/>
        <w:rPr>
          <w:rFonts w:ascii="Calibri" w:hAnsi="Calibri" w:eastAsia="宋体" w:cs="Times New Roman"/>
          <w:color w:val="auto"/>
          <w:sz w:val="24"/>
        </w:rPr>
      </w:pPr>
      <w:r>
        <w:rPr>
          <w:rFonts w:hint="eastAsia" w:ascii="Calibri" w:hAnsi="Calibri" w:eastAsia="宋体" w:cs="Times New Roman"/>
          <w:color w:val="auto"/>
          <w:sz w:val="24"/>
        </w:rPr>
        <w:t>（一）定性评价和定量评价相结合。</w:t>
      </w:r>
    </w:p>
    <w:p>
      <w:pPr>
        <w:pStyle w:val="5"/>
        <w:spacing w:line="360" w:lineRule="auto"/>
        <w:ind w:left="0" w:leftChars="0" w:firstLine="480" w:firstLineChars="200"/>
        <w:rPr>
          <w:rFonts w:ascii="Calibri" w:hAnsi="Calibri" w:eastAsia="宋体" w:cs="Times New Roman"/>
          <w:color w:val="auto"/>
          <w:sz w:val="24"/>
        </w:rPr>
      </w:pPr>
      <w:r>
        <w:rPr>
          <w:rFonts w:hint="eastAsia" w:ascii="Calibri" w:hAnsi="Calibri" w:eastAsia="宋体" w:cs="Times New Roman"/>
          <w:color w:val="auto"/>
          <w:sz w:val="24"/>
        </w:rPr>
        <w:t>（二）科学性和可操作性相结合。</w:t>
      </w:r>
    </w:p>
    <w:p>
      <w:pPr>
        <w:pStyle w:val="5"/>
        <w:spacing w:line="360" w:lineRule="auto"/>
        <w:ind w:left="0" w:leftChars="0" w:firstLine="480" w:firstLineChars="200"/>
        <w:rPr>
          <w:rFonts w:ascii="Calibri" w:hAnsi="Calibri" w:eastAsia="宋体" w:cs="Times New Roman"/>
          <w:color w:val="auto"/>
          <w:sz w:val="24"/>
        </w:rPr>
      </w:pPr>
      <w:r>
        <w:rPr>
          <w:rFonts w:hint="eastAsia" w:ascii="Calibri" w:hAnsi="Calibri" w:eastAsia="宋体" w:cs="Times New Roman"/>
          <w:color w:val="auto"/>
          <w:sz w:val="24"/>
        </w:rPr>
        <w:t>（三）静态评价和动态评价相结合。</w:t>
      </w:r>
    </w:p>
    <w:p>
      <w:pPr>
        <w:pStyle w:val="5"/>
        <w:spacing w:line="360" w:lineRule="auto"/>
        <w:ind w:left="0" w:leftChars="0" w:firstLine="482" w:firstLineChars="200"/>
        <w:rPr>
          <w:rFonts w:ascii="Calibri" w:hAnsi="Calibri" w:eastAsia="宋体" w:cs="Times New Roman"/>
          <w:color w:val="auto"/>
          <w:sz w:val="24"/>
        </w:rPr>
      </w:pPr>
      <w:r>
        <w:rPr>
          <w:rFonts w:hint="eastAsia" w:ascii="Calibri" w:hAnsi="Calibri" w:eastAsia="宋体" w:cs="Times New Roman"/>
          <w:b/>
          <w:color w:val="auto"/>
          <w:sz w:val="24"/>
        </w:rPr>
        <w:t>四、</w:t>
      </w:r>
      <w:r>
        <w:rPr>
          <w:rFonts w:hint="eastAsia" w:ascii="Calibri" w:hAnsi="Calibri" w:eastAsia="宋体" w:cs="宋体"/>
          <w:b/>
          <w:color w:val="auto"/>
          <w:sz w:val="24"/>
        </w:rPr>
        <w:t>评价内容及成绩构成</w:t>
      </w:r>
    </w:p>
    <w:p>
      <w:pPr>
        <w:widowControl/>
        <w:adjustRightInd w:val="0"/>
        <w:snapToGri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教师课堂教学质量评价分学生评价、教学</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评价、评价组评价三部分构成。</w:t>
      </w:r>
    </w:p>
    <w:p>
      <w:pPr>
        <w:widowControl/>
        <w:adjustRightInd w:val="0"/>
        <w:snapToGrid w:val="0"/>
        <w:spacing w:line="360" w:lineRule="auto"/>
        <w:ind w:firstLine="567" w:firstLineChars="0"/>
        <w:jc w:val="both"/>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（一）学生评价是学生根据课堂学习中可感知、可量化的因素对教师的课堂教学内容、教学态度、教学方法、手段等方面进行评价。（具体指标见附件</w:t>
      </w:r>
      <w:r>
        <w:rPr>
          <w:rFonts w:ascii="宋体" w:hAnsi="宋体" w:eastAsia="宋体" w:cs="宋体"/>
          <w:color w:val="auto"/>
          <w:kern w:val="0"/>
          <w:sz w:val="24"/>
          <w:szCs w:val="24"/>
          <w:lang w:val="en-US" w:eastAsia="zh-CN" w:bidi="ar-SA"/>
        </w:rPr>
        <w:t>1</w:t>
      </w:r>
      <w:r>
        <w:rPr>
          <w:rFonts w:hint="eastAsia" w:ascii="宋体" w:hAnsi="宋体" w:eastAsia="宋体" w:cs="宋体"/>
          <w:color w:val="auto"/>
          <w:kern w:val="0"/>
          <w:sz w:val="24"/>
          <w:szCs w:val="24"/>
          <w:lang w:val="en-US" w:eastAsia="zh-CN" w:bidi="ar-SA"/>
        </w:rPr>
        <w:t>）。</w:t>
      </w:r>
      <w:r>
        <w:rPr>
          <w:rFonts w:ascii="宋体" w:hAnsi="宋体" w:eastAsia="宋体" w:cs="宋体"/>
          <w:color w:val="auto"/>
          <w:kern w:val="0"/>
          <w:sz w:val="24"/>
          <w:szCs w:val="24"/>
          <w:lang w:val="en-US" w:eastAsia="zh-CN" w:bidi="ar-SA"/>
        </w:rPr>
        <w:t xml:space="preserve"> </w:t>
      </w:r>
    </w:p>
    <w:p>
      <w:pPr>
        <w:widowControl/>
        <w:adjustRightInd w:val="0"/>
        <w:snapToGrid w:val="0"/>
        <w:spacing w:line="360" w:lineRule="auto"/>
        <w:ind w:firstLine="567" w:firstLineChars="0"/>
        <w:jc w:val="both"/>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（二）二级学院评价是同行专家、二级学院教学管理人员对教师课堂教学质量和教学效果进行的评价。</w:t>
      </w:r>
    </w:p>
    <w:p>
      <w:pPr>
        <w:widowControl/>
        <w:adjustRightInd w:val="0"/>
        <w:snapToGrid w:val="0"/>
        <w:spacing w:line="360" w:lineRule="auto"/>
        <w:ind w:firstLine="567" w:firstLineChars="0"/>
        <w:jc w:val="both"/>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（三）评价组根据学院有关要求评价，由各二级学院组织实施。一般设</w:t>
      </w:r>
      <w:r>
        <w:rPr>
          <w:rFonts w:ascii="宋体" w:hAnsi="宋体" w:eastAsia="宋体" w:cs="宋体"/>
          <w:color w:val="auto"/>
          <w:kern w:val="0"/>
          <w:sz w:val="24"/>
          <w:szCs w:val="24"/>
          <w:lang w:val="en-US" w:eastAsia="zh-CN" w:bidi="ar-SA"/>
        </w:rPr>
        <w:t>5</w:t>
      </w:r>
      <w:r>
        <w:rPr>
          <w:rFonts w:hint="eastAsia" w:ascii="宋体" w:hAnsi="宋体" w:eastAsia="宋体" w:cs="宋体"/>
          <w:color w:val="auto"/>
          <w:kern w:val="0"/>
          <w:sz w:val="24"/>
          <w:szCs w:val="24"/>
          <w:lang w:val="en-US" w:eastAsia="zh-CN" w:bidi="ar-SA"/>
        </w:rPr>
        <w:t>人评价组，评价组根据本二级学院制定的评价办法可以集中进行，也可以与平时教学质量监控结合分散进行，每学期进行一次汇总。</w:t>
      </w:r>
    </w:p>
    <w:p>
      <w:pPr>
        <w:pStyle w:val="5"/>
        <w:spacing w:line="360" w:lineRule="auto"/>
        <w:ind w:left="0" w:leftChars="0" w:firstLine="482" w:firstLineChars="200"/>
        <w:rPr>
          <w:rFonts w:ascii="Calibri" w:hAnsi="Calibri" w:eastAsia="宋体" w:cs="Times New Roman"/>
          <w:b/>
          <w:color w:val="auto"/>
          <w:sz w:val="24"/>
        </w:rPr>
      </w:pPr>
      <w:r>
        <w:rPr>
          <w:rFonts w:hint="eastAsia" w:ascii="Calibri" w:hAnsi="Calibri" w:eastAsia="宋体" w:cs="Times New Roman"/>
          <w:b/>
          <w:color w:val="auto"/>
          <w:sz w:val="24"/>
        </w:rPr>
        <w:t>五、评价结果</w:t>
      </w:r>
    </w:p>
    <w:p>
      <w:pPr>
        <w:pStyle w:val="5"/>
        <w:spacing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（一）确定评价等次</w:t>
      </w:r>
    </w:p>
    <w:p>
      <w:pPr>
        <w:pStyle w:val="5"/>
        <w:numPr>
          <w:ilvl w:val="0"/>
          <w:numId w:val="5"/>
        </w:numPr>
        <w:tabs>
          <w:tab w:val="left" w:pos="360"/>
          <w:tab w:val="left" w:pos="540"/>
          <w:tab w:val="left" w:pos="735"/>
        </w:tabs>
        <w:spacing w:after="0"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优秀：评价分数</w:t>
      </w:r>
      <w:r>
        <w:rPr>
          <w:rFonts w:ascii="Calibri" w:hAnsi="Calibri" w:eastAsia="宋体" w:cs="Times New Roman"/>
          <w:color w:val="auto"/>
          <w:sz w:val="24"/>
        </w:rPr>
        <w:t>90</w:t>
      </w:r>
      <w:r>
        <w:rPr>
          <w:rFonts w:hint="eastAsia" w:ascii="Calibri" w:hAnsi="Calibri" w:eastAsia="宋体" w:cs="Times New Roman"/>
          <w:color w:val="auto"/>
          <w:sz w:val="24"/>
        </w:rPr>
        <w:t>分以上且列本单位参评人数的前</w:t>
      </w:r>
      <w:r>
        <w:rPr>
          <w:rFonts w:ascii="Calibri" w:hAnsi="Calibri" w:eastAsia="宋体" w:cs="Times New Roman"/>
          <w:color w:val="auto"/>
          <w:sz w:val="24"/>
        </w:rPr>
        <w:t>30%</w:t>
      </w:r>
      <w:r>
        <w:rPr>
          <w:rFonts w:hint="eastAsia" w:ascii="Calibri" w:hAnsi="Calibri" w:eastAsia="宋体" w:cs="Times New Roman"/>
          <w:color w:val="auto"/>
          <w:sz w:val="24"/>
        </w:rPr>
        <w:t>；</w:t>
      </w:r>
    </w:p>
    <w:p>
      <w:pPr>
        <w:pStyle w:val="5"/>
        <w:numPr>
          <w:ilvl w:val="0"/>
          <w:numId w:val="5"/>
        </w:numPr>
        <w:tabs>
          <w:tab w:val="left" w:pos="360"/>
          <w:tab w:val="left" w:pos="540"/>
          <w:tab w:val="left" w:pos="735"/>
        </w:tabs>
        <w:spacing w:after="0"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良好：评价分数</w:t>
      </w:r>
      <w:r>
        <w:rPr>
          <w:rFonts w:ascii="Calibri" w:hAnsi="Calibri" w:eastAsia="宋体" w:cs="Times New Roman"/>
          <w:color w:val="auto"/>
          <w:sz w:val="24"/>
        </w:rPr>
        <w:t>80</w:t>
      </w:r>
      <w:r>
        <w:rPr>
          <w:rFonts w:hint="eastAsia" w:ascii="Calibri" w:hAnsi="Calibri" w:eastAsia="宋体" w:cs="Times New Roman"/>
          <w:color w:val="auto"/>
          <w:sz w:val="24"/>
        </w:rPr>
        <w:t>分以上且列本单位参评人数的前</w:t>
      </w:r>
      <w:r>
        <w:rPr>
          <w:rFonts w:ascii="Calibri" w:hAnsi="Calibri" w:eastAsia="宋体" w:cs="Times New Roman"/>
          <w:color w:val="auto"/>
          <w:sz w:val="24"/>
        </w:rPr>
        <w:t>70%</w:t>
      </w:r>
      <w:r>
        <w:rPr>
          <w:rFonts w:hint="eastAsia" w:ascii="Calibri" w:hAnsi="Calibri" w:eastAsia="宋体" w:cs="Times New Roman"/>
          <w:color w:val="auto"/>
          <w:sz w:val="24"/>
        </w:rPr>
        <w:t>；</w:t>
      </w:r>
    </w:p>
    <w:p>
      <w:pPr>
        <w:pStyle w:val="5"/>
        <w:numPr>
          <w:ilvl w:val="0"/>
          <w:numId w:val="5"/>
        </w:numPr>
        <w:tabs>
          <w:tab w:val="left" w:pos="360"/>
          <w:tab w:val="left" w:pos="540"/>
          <w:tab w:val="left" w:pos="735"/>
        </w:tabs>
        <w:spacing w:after="0"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合格：评价分数</w:t>
      </w:r>
      <w:r>
        <w:rPr>
          <w:rFonts w:ascii="Calibri" w:hAnsi="Calibri" w:eastAsia="宋体" w:cs="Times New Roman"/>
          <w:color w:val="auto"/>
          <w:sz w:val="24"/>
        </w:rPr>
        <w:t>60</w:t>
      </w:r>
      <w:r>
        <w:rPr>
          <w:rFonts w:hint="eastAsia" w:ascii="Calibri" w:hAnsi="Calibri" w:eastAsia="宋体" w:cs="Times New Roman"/>
          <w:color w:val="auto"/>
          <w:sz w:val="24"/>
        </w:rPr>
        <w:t>分以上且列本单位参评人数的后</w:t>
      </w:r>
      <w:r>
        <w:rPr>
          <w:rFonts w:ascii="Calibri" w:hAnsi="Calibri" w:eastAsia="宋体" w:cs="Times New Roman"/>
          <w:color w:val="auto"/>
          <w:sz w:val="24"/>
        </w:rPr>
        <w:t>30%</w:t>
      </w:r>
      <w:r>
        <w:rPr>
          <w:rFonts w:hint="eastAsia" w:ascii="Calibri" w:hAnsi="Calibri" w:eastAsia="宋体" w:cs="Times New Roman"/>
          <w:color w:val="auto"/>
          <w:sz w:val="24"/>
        </w:rPr>
        <w:t>；</w:t>
      </w:r>
    </w:p>
    <w:p>
      <w:pPr>
        <w:pStyle w:val="5"/>
        <w:numPr>
          <w:ilvl w:val="0"/>
          <w:numId w:val="5"/>
        </w:numPr>
        <w:tabs>
          <w:tab w:val="left" w:pos="360"/>
          <w:tab w:val="left" w:pos="540"/>
          <w:tab w:val="left" w:pos="735"/>
        </w:tabs>
        <w:spacing w:after="0"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不合格：评价分数</w:t>
      </w:r>
      <w:r>
        <w:rPr>
          <w:rFonts w:ascii="Calibri" w:hAnsi="Calibri" w:eastAsia="宋体" w:cs="Times New Roman"/>
          <w:color w:val="auto"/>
          <w:sz w:val="24"/>
        </w:rPr>
        <w:t>60</w:t>
      </w:r>
      <w:r>
        <w:rPr>
          <w:rFonts w:hint="eastAsia" w:ascii="Calibri" w:hAnsi="Calibri" w:eastAsia="宋体" w:cs="Times New Roman"/>
          <w:color w:val="auto"/>
          <w:sz w:val="24"/>
        </w:rPr>
        <w:t>分以下。</w:t>
      </w:r>
    </w:p>
    <w:p>
      <w:pPr>
        <w:pStyle w:val="5"/>
        <w:spacing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（二）计算方法。对任课教师的教学质量评价通过评价主体分别对评价指标各项打分，然后再用加权平均的方式来进行。</w:t>
      </w:r>
    </w:p>
    <w:p>
      <w:pPr>
        <w:pStyle w:val="5"/>
        <w:spacing w:line="360" w:lineRule="auto"/>
        <w:ind w:left="0" w:leftChars="0" w:firstLine="482" w:firstLineChars="200"/>
        <w:rPr>
          <w:rFonts w:ascii="Calibri" w:hAnsi="Calibri" w:eastAsia="宋体" w:cs="Times New Roman"/>
          <w:b/>
          <w:color w:val="auto"/>
          <w:sz w:val="24"/>
        </w:rPr>
      </w:pPr>
      <w:r>
        <w:rPr>
          <w:rFonts w:hint="eastAsia" w:ascii="Calibri" w:hAnsi="Calibri" w:eastAsia="宋体" w:cs="Times New Roman"/>
          <w:b/>
          <w:color w:val="auto"/>
          <w:sz w:val="24"/>
        </w:rPr>
        <w:t>六、评价结果应用</w:t>
      </w:r>
    </w:p>
    <w:p>
      <w:pPr>
        <w:pStyle w:val="5"/>
        <w:spacing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（一）评价结果装入教师教学业务档案，作为晋职、评奖的依据。</w:t>
      </w:r>
    </w:p>
    <w:p>
      <w:pPr>
        <w:pStyle w:val="5"/>
        <w:spacing w:line="360" w:lineRule="auto"/>
        <w:ind w:left="0" w:leftChars="0" w:firstLine="567"/>
        <w:rPr>
          <w:rFonts w:ascii="Calibri" w:hAnsi="Calibri" w:eastAsia="宋体" w:cs="Times New Roman"/>
          <w:color w:val="auto"/>
          <w:sz w:val="24"/>
        </w:rPr>
      </w:pPr>
      <w:r>
        <w:rPr>
          <w:rFonts w:hint="eastAsia" w:ascii="Calibri" w:hAnsi="Calibri" w:eastAsia="宋体" w:cs="Times New Roman"/>
          <w:color w:val="auto"/>
          <w:sz w:val="24"/>
        </w:rPr>
        <w:t>（二）评价结果由教学主管部门以适当方式反馈主讲教师，以利于教师的培养和提高。</w:t>
      </w:r>
    </w:p>
    <w:p>
      <w:pPr>
        <w:pStyle w:val="5"/>
        <w:spacing w:line="360" w:lineRule="auto"/>
        <w:ind w:left="0" w:leftChars="0" w:firstLine="567"/>
        <w:rPr>
          <w:rFonts w:hint="eastAsia" w:ascii="Calibri" w:hAnsi="Calibri" w:eastAsia="宋体" w:cs="Times New Roman"/>
          <w:color w:val="auto"/>
          <w:sz w:val="24"/>
        </w:rPr>
      </w:pPr>
      <w:r>
        <w:rPr>
          <w:rFonts w:hint="eastAsia" w:ascii="Calibri" w:hAnsi="Calibri" w:eastAsia="宋体" w:cs="Times New Roman"/>
          <w:color w:val="auto"/>
          <w:sz w:val="24"/>
        </w:rPr>
        <w:t>（三）评价成绩为不合格的教师，本人要写出书面分析、改进提高的期限及措施，</w:t>
      </w:r>
      <w:r>
        <w:rPr>
          <w:rFonts w:hint="eastAsia" w:cs="Times New Roman"/>
          <w:color w:val="auto"/>
          <w:sz w:val="24"/>
          <w:lang w:eastAsia="zh-CN"/>
        </w:rPr>
        <w:t>二级学院</w:t>
      </w:r>
      <w:r>
        <w:rPr>
          <w:rFonts w:hint="eastAsia" w:ascii="Calibri" w:hAnsi="Calibri" w:eastAsia="宋体" w:cs="Times New Roman"/>
          <w:color w:val="auto"/>
          <w:sz w:val="24"/>
        </w:rPr>
        <w:t>应督促其整改，整改结束后进行复评，仍不合格者，停课或调离教学岗位。</w:t>
      </w:r>
    </w:p>
    <w:p>
      <w:pPr>
        <w:pStyle w:val="5"/>
        <w:spacing w:line="360" w:lineRule="auto"/>
        <w:ind w:leftChars="0"/>
        <w:rPr>
          <w:rFonts w:hint="eastAsia" w:ascii="Calibri" w:hAnsi="Calibri" w:eastAsia="宋体" w:cs="Times New Roman"/>
          <w:b/>
          <w:color w:val="auto"/>
          <w:sz w:val="24"/>
          <w:highlight w:val="none"/>
        </w:rPr>
      </w:pPr>
      <w:r>
        <w:rPr>
          <w:rFonts w:hint="eastAsia" w:ascii="Calibri" w:hAnsi="Calibri" w:eastAsia="宋体" w:cs="Times New Roman"/>
          <w:b/>
          <w:color w:val="auto"/>
          <w:sz w:val="24"/>
          <w:highlight w:val="none"/>
        </w:rPr>
        <w:t>七、责任归属</w:t>
      </w:r>
    </w:p>
    <w:p>
      <w:pPr>
        <w:pStyle w:val="5"/>
        <w:spacing w:line="360" w:lineRule="auto"/>
        <w:ind w:left="0" w:leftChars="0" w:firstLine="420" w:firstLineChars="175"/>
        <w:rPr>
          <w:rFonts w:ascii="Calibri" w:hAnsi="Calibri" w:eastAsia="宋体" w:cs="Times New Roman"/>
          <w:color w:val="auto"/>
          <w:sz w:val="24"/>
          <w:highlight w:val="none"/>
        </w:rPr>
      </w:pPr>
      <w:r>
        <w:rPr>
          <w:rFonts w:hint="eastAsia" w:ascii="Calibri" w:hAnsi="Calibri" w:eastAsia="宋体" w:cs="Times New Roman"/>
          <w:color w:val="auto"/>
          <w:sz w:val="24"/>
          <w:highlight w:val="none"/>
        </w:rPr>
        <w:t>学院党委书记、院长对课堂纪律工作总负责，分管教学副院长、院（</w:t>
      </w:r>
      <w:r>
        <w:rPr>
          <w:rFonts w:hint="eastAsia" w:cs="Times New Roman"/>
          <w:color w:val="auto"/>
          <w:sz w:val="24"/>
          <w:highlight w:val="none"/>
          <w:lang w:eastAsia="zh-CN"/>
        </w:rPr>
        <w:t>二级学院</w:t>
      </w:r>
      <w:r>
        <w:rPr>
          <w:rFonts w:hint="eastAsia" w:ascii="Calibri" w:hAnsi="Calibri" w:eastAsia="宋体" w:cs="Times New Roman"/>
          <w:color w:val="auto"/>
          <w:sz w:val="24"/>
          <w:highlight w:val="none"/>
        </w:rPr>
        <w:t>）负责人负直接责任</w:t>
      </w:r>
      <w:r>
        <w:rPr>
          <w:rFonts w:hint="eastAsia" w:ascii="Calibri" w:hAnsi="Calibri" w:eastAsia="宋体" w:cs="Times New Roman"/>
          <w:color w:val="auto"/>
          <w:sz w:val="24"/>
          <w:highlight w:val="none"/>
          <w:lang w:eastAsia="zh-CN"/>
        </w:rPr>
        <w:t>，</w:t>
      </w:r>
      <w:r>
        <w:rPr>
          <w:rFonts w:hint="eastAsia" w:ascii="Calibri" w:hAnsi="Calibri" w:eastAsia="宋体" w:cs="Times New Roman"/>
          <w:color w:val="auto"/>
          <w:sz w:val="24"/>
          <w:highlight w:val="none"/>
        </w:rPr>
        <w:t>任课教师负主要责任。</w:t>
      </w:r>
    </w:p>
    <w:p>
      <w:pPr>
        <w:pStyle w:val="5"/>
        <w:spacing w:line="360" w:lineRule="auto"/>
        <w:ind w:left="0" w:leftChars="0" w:firstLine="482" w:firstLineChars="200"/>
        <w:rPr>
          <w:rFonts w:ascii="Calibri" w:hAnsi="Calibri" w:eastAsia="宋体" w:cs="Times New Roman"/>
          <w:color w:val="auto"/>
          <w:sz w:val="24"/>
        </w:rPr>
      </w:pPr>
      <w:r>
        <w:rPr>
          <w:rFonts w:hint="eastAsia" w:ascii="Calibri" w:hAnsi="Calibri" w:eastAsia="宋体" w:cs="Times New Roman"/>
          <w:b/>
          <w:color w:val="auto"/>
          <w:sz w:val="24"/>
        </w:rPr>
        <w:t>附</w:t>
      </w:r>
      <w:r>
        <w:rPr>
          <w:rFonts w:hint="eastAsia" w:ascii="Calibri" w:hAnsi="Calibri" w:eastAsia="宋体" w:cs="Times New Roman"/>
          <w:color w:val="auto"/>
          <w:sz w:val="24"/>
        </w:rPr>
        <w:t>：</w:t>
      </w:r>
    </w:p>
    <w:p>
      <w:pPr>
        <w:pStyle w:val="5"/>
        <w:spacing w:line="360" w:lineRule="auto"/>
        <w:ind w:left="0" w:leftChars="0" w:firstLine="480" w:firstLineChars="200"/>
        <w:rPr>
          <w:rFonts w:ascii="Calibri" w:hAnsi="Calibri" w:eastAsia="宋体" w:cs="Times New Roman"/>
          <w:color w:val="auto"/>
          <w:sz w:val="24"/>
        </w:rPr>
      </w:pPr>
      <w:r>
        <w:rPr>
          <w:rFonts w:ascii="Calibri" w:hAnsi="Calibri" w:eastAsia="宋体" w:cs="Times New Roman"/>
          <w:color w:val="auto"/>
          <w:sz w:val="24"/>
        </w:rPr>
        <w:t>1.</w:t>
      </w:r>
      <w:r>
        <w:rPr>
          <w:rFonts w:ascii="Calibri" w:hAnsi="Calibri" w:eastAsia="宋体" w:cs="宋体"/>
          <w:b/>
          <w:color w:val="auto"/>
          <w:sz w:val="24"/>
        </w:rPr>
        <w:t xml:space="preserve"> </w:t>
      </w:r>
      <w:r>
        <w:rPr>
          <w:rFonts w:hint="eastAsia" w:ascii="Calibri" w:hAnsi="Calibri" w:eastAsia="宋体" w:cs="宋体"/>
          <w:color w:val="auto"/>
          <w:sz w:val="24"/>
        </w:rPr>
        <w:t>广东江门中医药职业学院</w:t>
      </w:r>
      <w:r>
        <w:rPr>
          <w:rFonts w:hint="eastAsia" w:ascii="Calibri" w:hAnsi="Calibri" w:eastAsia="宋体" w:cs="Times New Roman"/>
          <w:color w:val="auto"/>
          <w:sz w:val="24"/>
        </w:rPr>
        <w:t>教师课堂教学评价表（学生用表）</w:t>
      </w:r>
    </w:p>
    <w:p>
      <w:pPr>
        <w:pStyle w:val="5"/>
        <w:spacing w:line="360" w:lineRule="auto"/>
        <w:ind w:left="0" w:leftChars="0" w:firstLine="480" w:firstLineChars="200"/>
        <w:rPr>
          <w:rFonts w:ascii="Calibri" w:hAnsi="Calibri" w:eastAsia="宋体" w:cs="Times New Roman"/>
          <w:color w:val="auto"/>
          <w:sz w:val="24"/>
        </w:rPr>
      </w:pPr>
      <w:r>
        <w:rPr>
          <w:rFonts w:ascii="Calibri" w:hAnsi="Calibri" w:eastAsia="宋体" w:cs="Times New Roman"/>
          <w:color w:val="auto"/>
          <w:sz w:val="24"/>
        </w:rPr>
        <w:t>2.</w:t>
      </w:r>
      <w:r>
        <w:rPr>
          <w:rFonts w:ascii="Calibri" w:hAnsi="Calibri" w:eastAsia="宋体" w:cs="宋体"/>
          <w:color w:val="auto"/>
          <w:sz w:val="24"/>
        </w:rPr>
        <w:t xml:space="preserve"> </w:t>
      </w:r>
      <w:r>
        <w:rPr>
          <w:rFonts w:hint="eastAsia" w:ascii="Calibri" w:hAnsi="Calibri" w:eastAsia="宋体" w:cs="宋体"/>
          <w:color w:val="auto"/>
          <w:sz w:val="24"/>
        </w:rPr>
        <w:t>广东江门中医药职业学院</w:t>
      </w:r>
      <w:r>
        <w:rPr>
          <w:rFonts w:hint="eastAsia" w:ascii="Calibri" w:hAnsi="Calibri" w:eastAsia="宋体" w:cs="Times New Roman"/>
          <w:color w:val="auto"/>
          <w:sz w:val="24"/>
        </w:rPr>
        <w:t>教师课堂教学评价表（</w:t>
      </w:r>
      <w:r>
        <w:rPr>
          <w:rFonts w:hint="eastAsia" w:cs="Times New Roman"/>
          <w:color w:val="auto"/>
          <w:sz w:val="24"/>
          <w:lang w:eastAsia="zh-CN"/>
        </w:rPr>
        <w:t>二级学院</w:t>
      </w:r>
      <w:r>
        <w:rPr>
          <w:rFonts w:hint="eastAsia" w:ascii="Calibri" w:hAnsi="Calibri" w:eastAsia="宋体" w:cs="Times New Roman"/>
          <w:color w:val="auto"/>
          <w:sz w:val="24"/>
        </w:rPr>
        <w:t>用表）</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spacing w:line="360" w:lineRule="auto"/>
        <w:ind w:firstLine="482" w:firstLineChars="200"/>
        <w:jc w:val="center"/>
        <w:rPr>
          <w:rFonts w:ascii="宋体" w:hAnsi="Calibri" w:eastAsia="宋体" w:cs="Times New Roman"/>
          <w:b/>
          <w:bCs/>
          <w:color w:val="auto"/>
          <w:sz w:val="24"/>
          <w:szCs w:val="24"/>
        </w:rPr>
      </w:pPr>
      <w:r>
        <w:rPr>
          <w:rFonts w:hint="eastAsia" w:ascii="宋体" w:hAnsi="宋体" w:eastAsia="宋体" w:cs="宋体"/>
          <w:b/>
          <w:color w:val="auto"/>
          <w:kern w:val="0"/>
          <w:sz w:val="24"/>
          <w:szCs w:val="24"/>
        </w:rPr>
        <w:t>广东江门中医药职业学院</w:t>
      </w:r>
      <w:r>
        <w:rPr>
          <w:rFonts w:hint="eastAsia" w:ascii="宋体" w:hAnsi="宋体" w:eastAsia="宋体" w:cs="Times New Roman"/>
          <w:b/>
          <w:bCs/>
          <w:color w:val="auto"/>
          <w:sz w:val="24"/>
          <w:szCs w:val="24"/>
        </w:rPr>
        <w:t>教师课堂教学评价表（学生用表）</w:t>
      </w:r>
    </w:p>
    <w:p>
      <w:pPr>
        <w:spacing w:line="360" w:lineRule="auto"/>
        <w:ind w:firstLine="482" w:firstLineChars="200"/>
        <w:jc w:val="center"/>
        <w:rPr>
          <w:rFonts w:ascii="宋体" w:hAnsi="Calibri" w:eastAsia="宋体" w:cs="Times New Roman"/>
          <w:b/>
          <w:bCs/>
          <w:color w:val="auto"/>
          <w:sz w:val="24"/>
          <w:szCs w:val="24"/>
        </w:rPr>
      </w:pPr>
    </w:p>
    <w:p>
      <w:pPr>
        <w:spacing w:line="360" w:lineRule="auto"/>
        <w:ind w:firstLine="482" w:firstLineChars="200"/>
        <w:jc w:val="left"/>
        <w:rPr>
          <w:rFonts w:ascii="宋体" w:hAnsi="Calibri" w:eastAsia="宋体" w:cs="Times New Roman"/>
          <w:b/>
          <w:bCs/>
          <w:color w:val="auto"/>
          <w:sz w:val="24"/>
          <w:szCs w:val="24"/>
        </w:rPr>
      </w:pPr>
      <w:r>
        <w:rPr>
          <w:rFonts w:hint="eastAsia" w:ascii="宋体" w:hAnsi="Calibri" w:eastAsia="宋体" w:cs="Times New Roman"/>
          <w:b/>
          <w:bCs/>
          <w:color w:val="auto"/>
          <w:sz w:val="24"/>
          <w:szCs w:val="24"/>
        </w:rPr>
        <w:t>班别：                            授课学期：</w:t>
      </w:r>
    </w:p>
    <w:p>
      <w:pPr>
        <w:spacing w:line="360" w:lineRule="auto"/>
        <w:ind w:firstLine="482" w:firstLineChars="200"/>
        <w:jc w:val="left"/>
        <w:rPr>
          <w:rFonts w:ascii="宋体" w:hAnsi="Calibri" w:eastAsia="宋体" w:cs="Times New Roman"/>
          <w:bCs/>
          <w:color w:val="auto"/>
          <w:szCs w:val="21"/>
        </w:rPr>
      </w:pPr>
      <w:r>
        <w:rPr>
          <w:rFonts w:hint="eastAsia" w:ascii="宋体" w:hAnsi="Calibri" w:eastAsia="宋体" w:cs="Times New Roman"/>
          <w:b/>
          <w:bCs/>
          <w:color w:val="auto"/>
          <w:sz w:val="24"/>
          <w:szCs w:val="24"/>
        </w:rPr>
        <w:t>授课教师：</w:t>
      </w:r>
      <w:r>
        <w:rPr>
          <w:rFonts w:ascii="宋体" w:hAnsi="Calibri" w:eastAsia="宋体" w:cs="Times New Roman"/>
          <w:b/>
          <w:bCs/>
          <w:color w:val="auto"/>
          <w:sz w:val="24"/>
          <w:szCs w:val="24"/>
        </w:rPr>
        <w:t xml:space="preserve">  </w:t>
      </w:r>
      <w:r>
        <w:rPr>
          <w:rFonts w:ascii="宋体" w:hAnsi="宋体" w:eastAsia="宋体" w:cs="Times New Roman"/>
          <w:bCs/>
          <w:color w:val="auto"/>
          <w:szCs w:val="21"/>
        </w:rPr>
        <w:t xml:space="preserve">                         </w:t>
      </w:r>
      <w:r>
        <w:rPr>
          <w:rFonts w:hint="eastAsia" w:ascii="宋体" w:hAnsi="Calibri" w:eastAsia="宋体" w:cs="Times New Roman"/>
          <w:b/>
          <w:bCs/>
          <w:color w:val="auto"/>
          <w:sz w:val="24"/>
          <w:szCs w:val="24"/>
        </w:rPr>
        <w:t>课程名称：</w:t>
      </w:r>
    </w:p>
    <w:p>
      <w:pPr>
        <w:spacing w:line="360" w:lineRule="auto"/>
        <w:ind w:firstLine="420" w:firstLineChars="200"/>
        <w:jc w:val="left"/>
        <w:rPr>
          <w:rFonts w:ascii="宋体" w:hAnsi="Calibri" w:eastAsia="宋体" w:cs="Times New Roman"/>
          <w:bCs/>
          <w:color w:val="auto"/>
          <w:szCs w:val="21"/>
        </w:rPr>
      </w:pPr>
    </w:p>
    <w:tbl>
      <w:tblPr>
        <w:tblStyle w:val="1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6015"/>
        <w:gridCol w:w="814"/>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jc w:val="center"/>
        </w:trPr>
        <w:tc>
          <w:tcPr>
            <w:tcW w:w="783" w:type="dxa"/>
            <w:noWrap w:val="0"/>
            <w:vAlign w:val="center"/>
          </w:tcPr>
          <w:p>
            <w:pPr>
              <w:spacing w:line="360" w:lineRule="auto"/>
              <w:jc w:val="center"/>
              <w:rPr>
                <w:rFonts w:ascii="宋体" w:hAnsi="Calibri" w:eastAsia="宋体" w:cs="Times New Roman"/>
                <w:b/>
                <w:color w:val="auto"/>
                <w:szCs w:val="21"/>
              </w:rPr>
            </w:pPr>
            <w:r>
              <w:rPr>
                <w:rFonts w:hint="eastAsia" w:ascii="宋体" w:hAnsi="宋体" w:eastAsia="宋体" w:cs="Times New Roman"/>
                <w:b/>
                <w:color w:val="auto"/>
                <w:szCs w:val="21"/>
              </w:rPr>
              <w:t>项目</w:t>
            </w:r>
          </w:p>
          <w:p>
            <w:pPr>
              <w:spacing w:line="360" w:lineRule="auto"/>
              <w:jc w:val="center"/>
              <w:rPr>
                <w:rFonts w:ascii="宋体" w:hAnsi="Calibri" w:eastAsia="宋体" w:cs="Times New Roman"/>
                <w:b/>
                <w:color w:val="auto"/>
                <w:szCs w:val="21"/>
              </w:rPr>
            </w:pPr>
            <w:r>
              <w:rPr>
                <w:rFonts w:hint="eastAsia" w:ascii="宋体" w:hAnsi="宋体" w:eastAsia="宋体" w:cs="Times New Roman"/>
                <w:b/>
                <w:color w:val="auto"/>
                <w:szCs w:val="21"/>
              </w:rPr>
              <w:t>序号</w:t>
            </w:r>
          </w:p>
        </w:tc>
        <w:tc>
          <w:tcPr>
            <w:tcW w:w="6015" w:type="dxa"/>
            <w:noWrap w:val="0"/>
            <w:vAlign w:val="center"/>
          </w:tcPr>
          <w:p>
            <w:pPr>
              <w:spacing w:line="360" w:lineRule="auto"/>
              <w:ind w:firstLine="422" w:firstLineChars="200"/>
              <w:jc w:val="center"/>
              <w:rPr>
                <w:rFonts w:ascii="宋体" w:hAnsi="Calibri" w:eastAsia="宋体" w:cs="Times New Roman"/>
                <w:b/>
                <w:color w:val="auto"/>
                <w:szCs w:val="21"/>
              </w:rPr>
            </w:pPr>
            <w:r>
              <w:rPr>
                <w:rFonts w:hint="eastAsia" w:ascii="宋体" w:hAnsi="宋体" w:eastAsia="宋体" w:cs="Times New Roman"/>
                <w:b/>
                <w:color w:val="auto"/>
                <w:szCs w:val="21"/>
              </w:rPr>
              <w:t>评</w:t>
            </w:r>
            <w:r>
              <w:rPr>
                <w:rFonts w:ascii="宋体" w:hAnsi="宋体" w:eastAsia="宋体" w:cs="Times New Roman"/>
                <w:b/>
                <w:color w:val="auto"/>
                <w:szCs w:val="21"/>
              </w:rPr>
              <w:t xml:space="preserve">  </w:t>
            </w:r>
            <w:r>
              <w:rPr>
                <w:rFonts w:hint="eastAsia" w:ascii="宋体" w:hAnsi="宋体" w:eastAsia="宋体" w:cs="Times New Roman"/>
                <w:b/>
                <w:color w:val="auto"/>
                <w:szCs w:val="21"/>
              </w:rPr>
              <w:t>价</w:t>
            </w:r>
            <w:r>
              <w:rPr>
                <w:rFonts w:ascii="宋体" w:hAnsi="宋体" w:eastAsia="宋体" w:cs="Times New Roman"/>
                <w:b/>
                <w:color w:val="auto"/>
                <w:szCs w:val="21"/>
              </w:rPr>
              <w:t xml:space="preserve">  </w:t>
            </w:r>
            <w:r>
              <w:rPr>
                <w:rFonts w:hint="eastAsia" w:ascii="宋体" w:hAnsi="宋体" w:eastAsia="宋体" w:cs="Times New Roman"/>
                <w:b/>
                <w:color w:val="auto"/>
                <w:szCs w:val="21"/>
              </w:rPr>
              <w:t>指</w:t>
            </w:r>
            <w:r>
              <w:rPr>
                <w:rFonts w:ascii="宋体" w:hAnsi="宋体" w:eastAsia="宋体" w:cs="Times New Roman"/>
                <w:b/>
                <w:color w:val="auto"/>
                <w:szCs w:val="21"/>
              </w:rPr>
              <w:t xml:space="preserve">  </w:t>
            </w:r>
            <w:r>
              <w:rPr>
                <w:rFonts w:hint="eastAsia" w:ascii="宋体" w:hAnsi="宋体" w:eastAsia="宋体" w:cs="Times New Roman"/>
                <w:b/>
                <w:color w:val="auto"/>
                <w:szCs w:val="21"/>
              </w:rPr>
              <w:t>标</w:t>
            </w:r>
          </w:p>
        </w:tc>
        <w:tc>
          <w:tcPr>
            <w:tcW w:w="814" w:type="dxa"/>
            <w:noWrap w:val="0"/>
            <w:vAlign w:val="center"/>
          </w:tcPr>
          <w:p>
            <w:pPr>
              <w:spacing w:line="360" w:lineRule="auto"/>
              <w:jc w:val="center"/>
              <w:rPr>
                <w:rFonts w:ascii="宋体" w:hAnsi="Calibri" w:eastAsia="宋体" w:cs="Times New Roman"/>
                <w:b/>
                <w:color w:val="auto"/>
                <w:szCs w:val="21"/>
              </w:rPr>
            </w:pPr>
            <w:r>
              <w:rPr>
                <w:rFonts w:hint="eastAsia" w:ascii="宋体" w:hAnsi="宋体" w:eastAsia="宋体" w:cs="宋体"/>
                <w:b/>
                <w:color w:val="auto"/>
                <w:kern w:val="0"/>
                <w:szCs w:val="21"/>
              </w:rPr>
              <w:t>分值</w:t>
            </w:r>
          </w:p>
        </w:tc>
        <w:tc>
          <w:tcPr>
            <w:tcW w:w="910" w:type="dxa"/>
            <w:noWrap w:val="0"/>
            <w:vAlign w:val="center"/>
          </w:tcPr>
          <w:p>
            <w:pPr>
              <w:spacing w:line="360" w:lineRule="auto"/>
              <w:jc w:val="center"/>
              <w:rPr>
                <w:rFonts w:ascii="宋体" w:hAnsi="Calibri" w:eastAsia="宋体" w:cs="Times New Roman"/>
                <w:b/>
                <w:color w:val="auto"/>
                <w:szCs w:val="21"/>
              </w:rPr>
            </w:pPr>
            <w:r>
              <w:rPr>
                <w:rFonts w:hint="eastAsia" w:ascii="宋体" w:hAnsi="宋体" w:eastAsia="宋体" w:cs="Times New Roman"/>
                <w:b/>
                <w:color w:val="auto"/>
                <w:szCs w:val="21"/>
              </w:rPr>
              <w:t>评价</w:t>
            </w:r>
          </w:p>
          <w:p>
            <w:pPr>
              <w:spacing w:line="360" w:lineRule="auto"/>
              <w:jc w:val="center"/>
              <w:rPr>
                <w:rFonts w:ascii="宋体" w:hAnsi="Calibri" w:eastAsia="宋体" w:cs="宋体"/>
                <w:b/>
                <w:color w:val="auto"/>
                <w:kern w:val="0"/>
                <w:szCs w:val="21"/>
              </w:rPr>
            </w:pPr>
            <w:r>
              <w:rPr>
                <w:rFonts w:hint="eastAsia" w:ascii="宋体" w:hAnsi="宋体" w:eastAsia="宋体" w:cs="Times New Roman"/>
                <w:b/>
                <w:color w:val="auto"/>
                <w:szCs w:val="21"/>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爱岗敬业，仪表端庄，注重言传身教，为人师表</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5</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2</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备课充分，授课认真，治学严谨</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15</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3</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使用普通话，表述清楚，思路清晰，语言生动</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5</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4</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教学内容有用、先进，</w:t>
            </w:r>
            <w:r>
              <w:rPr>
                <w:rFonts w:hint="eastAsia" w:ascii="宋体" w:hAnsi="宋体" w:eastAsia="宋体" w:cs="Times New Roman"/>
                <w:color w:val="auto"/>
                <w:szCs w:val="21"/>
                <w:lang w:eastAsia="zh-CN"/>
              </w:rPr>
              <w:t>二级学院</w:t>
            </w:r>
            <w:r>
              <w:rPr>
                <w:rFonts w:hint="eastAsia" w:ascii="宋体" w:hAnsi="宋体" w:eastAsia="宋体" w:cs="Times New Roman"/>
                <w:color w:val="auto"/>
                <w:szCs w:val="21"/>
              </w:rPr>
              <w:t>统性强，重点突出，难度适宜</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10</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5</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能够调动学生的积极性，注重启发式教学，师生互动</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10</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6</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注重学习方法、技能的指导，注重学生能力培养</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10</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7</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教学方法先进，善于运用多媒体等现代化教学手段，教学进度适中，课堂效率高</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10</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8</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按时上、下课，课堂教学秩序良好，气氛活跃</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5</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9</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重视自学指导和课外训练，辅导及时，作业、实验报告批改认真，合理布置课外阅读书目，根据教学内容需要科学设计课外讨论题目</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15</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783"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10</w:t>
            </w:r>
          </w:p>
        </w:tc>
        <w:tc>
          <w:tcPr>
            <w:tcW w:w="6015" w:type="dxa"/>
            <w:noWrap w:val="0"/>
            <w:vAlign w:val="center"/>
          </w:tcPr>
          <w:p>
            <w:pPr>
              <w:spacing w:line="288" w:lineRule="auto"/>
              <w:rPr>
                <w:rFonts w:ascii="宋体" w:hAnsi="Calibri" w:eastAsia="宋体" w:cs="Times New Roman"/>
                <w:color w:val="auto"/>
                <w:szCs w:val="21"/>
              </w:rPr>
            </w:pPr>
            <w:r>
              <w:rPr>
                <w:rFonts w:hint="eastAsia" w:ascii="宋体" w:hAnsi="宋体" w:eastAsia="宋体" w:cs="Times New Roman"/>
                <w:color w:val="auto"/>
                <w:szCs w:val="21"/>
              </w:rPr>
              <w:t>通过课程学习，学生能力提高快，收获大</w:t>
            </w:r>
          </w:p>
        </w:tc>
        <w:tc>
          <w:tcPr>
            <w:tcW w:w="814" w:type="dxa"/>
            <w:noWrap w:val="0"/>
            <w:vAlign w:val="center"/>
          </w:tcPr>
          <w:p>
            <w:pPr>
              <w:spacing w:line="288" w:lineRule="auto"/>
              <w:jc w:val="center"/>
              <w:rPr>
                <w:rFonts w:ascii="宋体" w:hAnsi="Calibri" w:eastAsia="宋体" w:cs="Times New Roman"/>
                <w:color w:val="auto"/>
                <w:szCs w:val="21"/>
              </w:rPr>
            </w:pPr>
            <w:r>
              <w:rPr>
                <w:rFonts w:ascii="宋体" w:hAnsi="宋体" w:eastAsia="宋体" w:cs="Times New Roman"/>
                <w:color w:val="auto"/>
                <w:szCs w:val="21"/>
              </w:rPr>
              <w:t>15</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6798" w:type="dxa"/>
            <w:gridSpan w:val="2"/>
            <w:noWrap w:val="0"/>
            <w:vAlign w:val="center"/>
          </w:tcPr>
          <w:p>
            <w:pPr>
              <w:spacing w:line="360" w:lineRule="auto"/>
              <w:ind w:firstLine="420" w:firstLineChars="200"/>
              <w:rPr>
                <w:rFonts w:ascii="宋体" w:hAnsi="Calibri" w:eastAsia="宋体" w:cs="Times New Roman"/>
                <w:color w:val="auto"/>
                <w:szCs w:val="21"/>
              </w:rPr>
            </w:pPr>
            <w:r>
              <w:rPr>
                <w:rFonts w:hint="eastAsia" w:ascii="宋体" w:hAnsi="宋体" w:eastAsia="宋体" w:cs="Times New Roman"/>
                <w:color w:val="auto"/>
                <w:szCs w:val="21"/>
              </w:rPr>
              <w:t>合</w:t>
            </w:r>
            <w:r>
              <w:rPr>
                <w:rFonts w:ascii="宋体" w:hAnsi="宋体" w:eastAsia="宋体" w:cs="Times New Roman"/>
                <w:color w:val="auto"/>
                <w:szCs w:val="21"/>
              </w:rPr>
              <w:t xml:space="preserve">       </w:t>
            </w:r>
            <w:r>
              <w:rPr>
                <w:rFonts w:hint="eastAsia" w:ascii="宋体" w:hAnsi="宋体" w:eastAsia="宋体" w:cs="Times New Roman"/>
                <w:color w:val="auto"/>
                <w:szCs w:val="21"/>
              </w:rPr>
              <w:t>计</w:t>
            </w:r>
          </w:p>
        </w:tc>
        <w:tc>
          <w:tcPr>
            <w:tcW w:w="814" w:type="dxa"/>
            <w:noWrap w:val="0"/>
            <w:vAlign w:val="center"/>
          </w:tcPr>
          <w:p>
            <w:pPr>
              <w:spacing w:line="360" w:lineRule="auto"/>
              <w:jc w:val="center"/>
              <w:rPr>
                <w:rFonts w:ascii="宋体" w:hAnsi="Calibri" w:eastAsia="宋体" w:cs="Times New Roman"/>
                <w:color w:val="auto"/>
                <w:szCs w:val="21"/>
              </w:rPr>
            </w:pPr>
            <w:r>
              <w:rPr>
                <w:rFonts w:ascii="宋体" w:hAnsi="宋体" w:eastAsia="宋体" w:cs="Times New Roman"/>
                <w:color w:val="auto"/>
                <w:szCs w:val="21"/>
              </w:rPr>
              <w:fldChar w:fldCharType="begin"/>
            </w:r>
            <w:r>
              <w:rPr>
                <w:rFonts w:ascii="宋体" w:hAnsi="宋体" w:eastAsia="宋体" w:cs="Times New Roman"/>
                <w:color w:val="auto"/>
                <w:szCs w:val="21"/>
              </w:rPr>
              <w:instrText xml:space="preserve"> =SUM(ABOVE) </w:instrText>
            </w:r>
            <w:r>
              <w:rPr>
                <w:rFonts w:ascii="宋体" w:hAnsi="宋体" w:eastAsia="宋体" w:cs="Times New Roman"/>
                <w:color w:val="auto"/>
                <w:szCs w:val="21"/>
              </w:rPr>
              <w:fldChar w:fldCharType="separate"/>
            </w:r>
            <w:r>
              <w:rPr>
                <w:rFonts w:ascii="宋体" w:hAnsi="宋体" w:eastAsia="宋体" w:cs="Times New Roman"/>
                <w:color w:val="auto"/>
                <w:szCs w:val="21"/>
              </w:rPr>
              <w:t>1</w:t>
            </w:r>
            <w:r>
              <w:rPr>
                <w:rFonts w:ascii="宋体" w:hAnsi="宋体" w:eastAsia="宋体" w:cs="Times New Roman"/>
                <w:color w:val="auto"/>
                <w:szCs w:val="21"/>
              </w:rPr>
              <w:fldChar w:fldCharType="end"/>
            </w:r>
            <w:r>
              <w:rPr>
                <w:rFonts w:ascii="宋体" w:hAnsi="Calibri" w:eastAsia="宋体" w:cs="Times New Roman"/>
                <w:color w:val="auto"/>
                <w:szCs w:val="21"/>
              </w:rPr>
              <w:t>00</w:t>
            </w:r>
          </w:p>
        </w:tc>
        <w:tc>
          <w:tcPr>
            <w:tcW w:w="910" w:type="dxa"/>
            <w:noWrap w:val="0"/>
            <w:vAlign w:val="center"/>
          </w:tcPr>
          <w:p>
            <w:pPr>
              <w:spacing w:line="360" w:lineRule="auto"/>
              <w:ind w:firstLine="420" w:firstLineChars="200"/>
              <w:jc w:val="center"/>
              <w:rPr>
                <w:rFonts w:ascii="宋体" w:hAnsi="Calibri" w:eastAsia="宋体" w:cs="Times New Roman"/>
                <w:color w:val="auto"/>
                <w:szCs w:val="21"/>
              </w:rPr>
            </w:pPr>
          </w:p>
        </w:tc>
      </w:tr>
    </w:tbl>
    <w:p>
      <w:pPr>
        <w:spacing w:line="360" w:lineRule="auto"/>
        <w:ind w:firstLine="420" w:firstLineChars="200"/>
        <w:jc w:val="left"/>
        <w:rPr>
          <w:rFonts w:ascii="宋体" w:hAnsi="Calibri" w:eastAsia="宋体" w:cs="Times New Roman"/>
          <w:color w:val="auto"/>
          <w:szCs w:val="21"/>
        </w:rPr>
      </w:pPr>
    </w:p>
    <w:p>
      <w:pPr>
        <w:widowControl/>
        <w:jc w:val="left"/>
        <w:rPr>
          <w:rFonts w:ascii="宋体" w:hAnsi="Calibri" w:eastAsia="宋体" w:cs="Times New Roman"/>
          <w:b/>
          <w:bCs/>
          <w:color w:val="auto"/>
          <w:szCs w:val="21"/>
        </w:rPr>
      </w:pPr>
      <w:r>
        <w:rPr>
          <w:rFonts w:ascii="宋体" w:hAnsi="Calibri" w:eastAsia="宋体" w:cs="Times New Roman"/>
          <w:b/>
          <w:bCs/>
          <w:color w:val="auto"/>
          <w:szCs w:val="21"/>
        </w:rPr>
        <w:br w:type="page"/>
      </w:r>
    </w:p>
    <w:p>
      <w:pPr>
        <w:spacing w:line="360" w:lineRule="auto"/>
        <w:ind w:firstLine="482" w:firstLineChars="200"/>
        <w:jc w:val="center"/>
        <w:rPr>
          <w:rFonts w:ascii="宋体" w:hAnsi="宋体" w:eastAsia="宋体" w:cs="Times New Roman"/>
          <w:b/>
          <w:bCs/>
          <w:color w:val="auto"/>
          <w:sz w:val="24"/>
          <w:szCs w:val="24"/>
        </w:rPr>
      </w:pPr>
      <w:r>
        <w:rPr>
          <w:rFonts w:hint="eastAsia" w:ascii="宋体" w:hAnsi="宋体" w:eastAsia="宋体" w:cs="Times New Roman"/>
          <w:b/>
          <w:bCs/>
          <w:color w:val="auto"/>
          <w:sz w:val="24"/>
          <w:szCs w:val="24"/>
        </w:rPr>
        <w:t>广东江门中医药职业学院教师课堂教学评价表（</w:t>
      </w:r>
      <w:r>
        <w:rPr>
          <w:rFonts w:hint="eastAsia" w:ascii="宋体" w:hAnsi="宋体" w:eastAsia="宋体" w:cs="Times New Roman"/>
          <w:b/>
          <w:bCs/>
          <w:color w:val="auto"/>
          <w:sz w:val="24"/>
          <w:szCs w:val="24"/>
          <w:lang w:eastAsia="zh-CN"/>
        </w:rPr>
        <w:t>二级学院</w:t>
      </w:r>
      <w:r>
        <w:rPr>
          <w:rFonts w:hint="eastAsia" w:ascii="宋体" w:hAnsi="宋体" w:eastAsia="宋体" w:cs="Times New Roman"/>
          <w:b/>
          <w:bCs/>
          <w:color w:val="auto"/>
          <w:sz w:val="24"/>
          <w:szCs w:val="24"/>
        </w:rPr>
        <w:t>用表）</w:t>
      </w:r>
    </w:p>
    <w:p>
      <w:pPr>
        <w:spacing w:line="360" w:lineRule="auto"/>
        <w:ind w:firstLine="482" w:firstLineChars="200"/>
        <w:jc w:val="center"/>
        <w:rPr>
          <w:rFonts w:ascii="宋体" w:hAnsi="宋体" w:eastAsia="宋体" w:cs="Times New Roman"/>
          <w:b/>
          <w:bCs/>
          <w:color w:val="auto"/>
          <w:sz w:val="24"/>
          <w:szCs w:val="24"/>
        </w:rPr>
      </w:pPr>
    </w:p>
    <w:p>
      <w:pPr>
        <w:spacing w:line="360" w:lineRule="auto"/>
        <w:ind w:firstLine="482" w:firstLineChars="200"/>
        <w:jc w:val="left"/>
        <w:rPr>
          <w:rFonts w:ascii="宋体" w:hAnsi="Calibri" w:eastAsia="宋体" w:cs="Times New Roman"/>
          <w:b/>
          <w:bCs/>
          <w:color w:val="auto"/>
          <w:sz w:val="24"/>
          <w:szCs w:val="24"/>
        </w:rPr>
      </w:pPr>
      <w:r>
        <w:rPr>
          <w:rFonts w:hint="eastAsia" w:ascii="宋体" w:hAnsi="Calibri" w:eastAsia="宋体" w:cs="Times New Roman"/>
          <w:b/>
          <w:bCs/>
          <w:color w:val="auto"/>
          <w:sz w:val="24"/>
          <w:szCs w:val="24"/>
        </w:rPr>
        <w:t>班别：                            授课学期：</w:t>
      </w:r>
    </w:p>
    <w:p>
      <w:pPr>
        <w:spacing w:line="360" w:lineRule="auto"/>
        <w:ind w:firstLine="482" w:firstLineChars="200"/>
        <w:jc w:val="left"/>
        <w:rPr>
          <w:rFonts w:ascii="宋体" w:hAnsi="Calibri" w:eastAsia="宋体" w:cs="Times New Roman"/>
          <w:bCs/>
          <w:color w:val="auto"/>
          <w:szCs w:val="21"/>
        </w:rPr>
      </w:pPr>
      <w:r>
        <w:rPr>
          <w:rFonts w:hint="eastAsia" w:ascii="宋体" w:hAnsi="Calibri" w:eastAsia="宋体" w:cs="Times New Roman"/>
          <w:b/>
          <w:bCs/>
          <w:color w:val="auto"/>
          <w:sz w:val="24"/>
          <w:szCs w:val="24"/>
        </w:rPr>
        <w:t>授课教师：</w:t>
      </w:r>
      <w:r>
        <w:rPr>
          <w:rFonts w:ascii="宋体" w:hAnsi="Calibri" w:eastAsia="宋体" w:cs="Times New Roman"/>
          <w:b/>
          <w:bCs/>
          <w:color w:val="auto"/>
          <w:sz w:val="24"/>
          <w:szCs w:val="24"/>
        </w:rPr>
        <w:t xml:space="preserve">  </w:t>
      </w:r>
      <w:r>
        <w:rPr>
          <w:rFonts w:ascii="宋体" w:hAnsi="宋体" w:eastAsia="宋体" w:cs="Times New Roman"/>
          <w:bCs/>
          <w:color w:val="auto"/>
          <w:szCs w:val="21"/>
        </w:rPr>
        <w:t xml:space="preserve">                         </w:t>
      </w:r>
      <w:r>
        <w:rPr>
          <w:rFonts w:hint="eastAsia" w:ascii="宋体" w:hAnsi="Calibri" w:eastAsia="宋体" w:cs="Times New Roman"/>
          <w:b/>
          <w:bCs/>
          <w:color w:val="auto"/>
          <w:sz w:val="24"/>
          <w:szCs w:val="24"/>
        </w:rPr>
        <w:t>课程名称：</w:t>
      </w:r>
    </w:p>
    <w:tbl>
      <w:tblPr>
        <w:tblStyle w:val="16"/>
        <w:tblW w:w="8755" w:type="dxa"/>
        <w:tblInd w:w="0" w:type="dxa"/>
        <w:tblLayout w:type="fixed"/>
        <w:tblCellMar>
          <w:top w:w="0" w:type="dxa"/>
          <w:left w:w="108" w:type="dxa"/>
          <w:bottom w:w="0" w:type="dxa"/>
          <w:right w:w="108" w:type="dxa"/>
        </w:tblCellMar>
      </w:tblPr>
      <w:tblGrid>
        <w:gridCol w:w="959"/>
        <w:gridCol w:w="6237"/>
        <w:gridCol w:w="850"/>
        <w:gridCol w:w="709"/>
      </w:tblGrid>
      <w:tr>
        <w:tblPrEx>
          <w:tblLayout w:type="fixed"/>
          <w:tblCellMar>
            <w:top w:w="0" w:type="dxa"/>
            <w:left w:w="108" w:type="dxa"/>
            <w:bottom w:w="0" w:type="dxa"/>
            <w:right w:w="108" w:type="dxa"/>
          </w:tblCellMar>
        </w:tblPrEx>
        <w:trPr>
          <w:trHeight w:val="20" w:hRule="atLeast"/>
        </w:trPr>
        <w:tc>
          <w:tcPr>
            <w:tcW w:w="959" w:type="dxa"/>
            <w:tcBorders>
              <w:top w:val="single" w:color="auto" w:sz="6" w:space="0"/>
              <w:left w:val="single" w:color="auto" w:sz="6" w:space="0"/>
              <w:bottom w:val="nil"/>
              <w:right w:val="single" w:color="auto" w:sz="6" w:space="0"/>
            </w:tcBorders>
            <w:noWrap w:val="0"/>
            <w:vAlign w:val="center"/>
          </w:tcPr>
          <w:p>
            <w:pPr>
              <w:spacing w:line="312" w:lineRule="auto"/>
              <w:jc w:val="center"/>
              <w:rPr>
                <w:rFonts w:ascii="宋体" w:hAnsi="Calibri" w:eastAsia="宋体" w:cs="宋体"/>
                <w:b/>
                <w:color w:val="auto"/>
                <w:kern w:val="0"/>
                <w:szCs w:val="21"/>
              </w:rPr>
            </w:pPr>
            <w:r>
              <w:rPr>
                <w:rFonts w:hint="eastAsia" w:ascii="宋体" w:hAnsi="宋体" w:eastAsia="宋体" w:cs="宋体"/>
                <w:b/>
                <w:color w:val="auto"/>
                <w:kern w:val="0"/>
                <w:szCs w:val="21"/>
              </w:rPr>
              <w:t>评价</w:t>
            </w:r>
          </w:p>
          <w:p>
            <w:pPr>
              <w:spacing w:line="312" w:lineRule="auto"/>
              <w:jc w:val="center"/>
              <w:rPr>
                <w:rFonts w:ascii="宋体" w:hAnsi="Calibri" w:eastAsia="宋体" w:cs="Times New Roman"/>
                <w:b/>
                <w:color w:val="auto"/>
                <w:szCs w:val="21"/>
              </w:rPr>
            </w:pPr>
            <w:r>
              <w:rPr>
                <w:rFonts w:hint="eastAsia" w:ascii="宋体" w:hAnsi="宋体" w:eastAsia="宋体" w:cs="宋体"/>
                <w:b/>
                <w:color w:val="auto"/>
                <w:kern w:val="0"/>
                <w:szCs w:val="21"/>
              </w:rPr>
              <w:t>指标</w:t>
            </w:r>
          </w:p>
        </w:tc>
        <w:tc>
          <w:tcPr>
            <w:tcW w:w="6237" w:type="dxa"/>
            <w:tcBorders>
              <w:top w:val="single" w:color="auto" w:sz="6" w:space="0"/>
              <w:left w:val="single" w:color="auto" w:sz="6" w:space="0"/>
              <w:bottom w:val="nil"/>
              <w:right w:val="single" w:color="auto" w:sz="6" w:space="0"/>
            </w:tcBorders>
            <w:noWrap w:val="0"/>
            <w:vAlign w:val="center"/>
          </w:tcPr>
          <w:p>
            <w:pPr>
              <w:spacing w:line="312" w:lineRule="auto"/>
              <w:ind w:firstLine="422" w:firstLineChars="200"/>
              <w:jc w:val="center"/>
              <w:rPr>
                <w:rFonts w:ascii="宋体" w:hAnsi="Calibri" w:eastAsia="宋体" w:cs="Times New Roman"/>
                <w:b/>
                <w:color w:val="auto"/>
                <w:szCs w:val="21"/>
              </w:rPr>
            </w:pPr>
            <w:r>
              <w:rPr>
                <w:rFonts w:hint="eastAsia" w:ascii="宋体" w:hAnsi="宋体" w:eastAsia="宋体" w:cs="宋体"/>
                <w:b/>
                <w:color w:val="auto"/>
                <w:kern w:val="0"/>
                <w:szCs w:val="21"/>
              </w:rPr>
              <w:t>评价内容</w:t>
            </w:r>
          </w:p>
        </w:tc>
        <w:tc>
          <w:tcPr>
            <w:tcW w:w="850" w:type="dxa"/>
            <w:tcBorders>
              <w:top w:val="single" w:color="auto" w:sz="6" w:space="0"/>
              <w:left w:val="single" w:color="auto" w:sz="6" w:space="0"/>
              <w:bottom w:val="nil"/>
              <w:right w:val="single" w:color="auto" w:sz="6" w:space="0"/>
            </w:tcBorders>
            <w:noWrap w:val="0"/>
            <w:vAlign w:val="center"/>
          </w:tcPr>
          <w:p>
            <w:pPr>
              <w:spacing w:line="312" w:lineRule="auto"/>
              <w:jc w:val="center"/>
              <w:rPr>
                <w:rFonts w:ascii="宋体" w:hAnsi="Calibri" w:eastAsia="宋体" w:cs="Times New Roman"/>
                <w:b/>
                <w:color w:val="auto"/>
                <w:szCs w:val="21"/>
              </w:rPr>
            </w:pPr>
            <w:r>
              <w:rPr>
                <w:rFonts w:hint="eastAsia" w:ascii="宋体" w:hAnsi="宋体" w:eastAsia="宋体" w:cs="宋体"/>
                <w:b/>
                <w:color w:val="auto"/>
                <w:kern w:val="0"/>
                <w:szCs w:val="21"/>
              </w:rPr>
              <w:t>分值</w:t>
            </w:r>
          </w:p>
        </w:tc>
        <w:tc>
          <w:tcPr>
            <w:tcW w:w="709" w:type="dxa"/>
            <w:tcBorders>
              <w:top w:val="single" w:color="auto" w:sz="6" w:space="0"/>
              <w:left w:val="single" w:color="auto" w:sz="6" w:space="0"/>
              <w:right w:val="single" w:color="auto" w:sz="6" w:space="0"/>
            </w:tcBorders>
            <w:noWrap w:val="0"/>
            <w:vAlign w:val="center"/>
          </w:tcPr>
          <w:p>
            <w:pPr>
              <w:spacing w:line="312" w:lineRule="auto"/>
              <w:rPr>
                <w:rFonts w:ascii="宋体" w:hAnsi="Calibri" w:eastAsia="宋体" w:cs="Times New Roman"/>
                <w:b/>
                <w:color w:val="auto"/>
                <w:szCs w:val="21"/>
              </w:rPr>
            </w:pPr>
            <w:r>
              <w:rPr>
                <w:rFonts w:hint="eastAsia" w:ascii="宋体" w:hAnsi="宋体" w:eastAsia="宋体" w:cs="Times New Roman"/>
                <w:b/>
                <w:color w:val="auto"/>
                <w:szCs w:val="21"/>
              </w:rPr>
              <w:t>评价</w:t>
            </w:r>
          </w:p>
          <w:p>
            <w:pPr>
              <w:spacing w:line="312" w:lineRule="auto"/>
              <w:rPr>
                <w:rFonts w:ascii="宋体" w:hAnsi="Calibri" w:eastAsia="宋体" w:cs="宋体"/>
                <w:b/>
                <w:color w:val="auto"/>
                <w:kern w:val="0"/>
                <w:szCs w:val="21"/>
              </w:rPr>
            </w:pPr>
            <w:r>
              <w:rPr>
                <w:rFonts w:hint="eastAsia" w:ascii="宋体" w:hAnsi="宋体" w:eastAsia="宋体" w:cs="Times New Roman"/>
                <w:b/>
                <w:color w:val="auto"/>
                <w:szCs w:val="21"/>
              </w:rPr>
              <w:t>分数</w:t>
            </w:r>
          </w:p>
        </w:tc>
      </w:tr>
      <w:tr>
        <w:tblPrEx>
          <w:tblLayout w:type="fixed"/>
          <w:tblCellMar>
            <w:top w:w="0" w:type="dxa"/>
            <w:left w:w="108" w:type="dxa"/>
            <w:bottom w:w="0" w:type="dxa"/>
            <w:right w:w="108" w:type="dxa"/>
          </w:tblCellMar>
        </w:tblPrEx>
        <w:trPr>
          <w:trHeight w:val="20" w:hRule="atLeast"/>
        </w:trPr>
        <w:tc>
          <w:tcPr>
            <w:tcW w:w="959"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宋体"/>
                <w:color w:val="auto"/>
                <w:kern w:val="0"/>
                <w:szCs w:val="21"/>
              </w:rPr>
            </w:pPr>
            <w:r>
              <w:rPr>
                <w:rFonts w:hint="eastAsia" w:ascii="宋体" w:hAnsi="宋体" w:eastAsia="宋体" w:cs="宋体"/>
                <w:color w:val="auto"/>
                <w:kern w:val="0"/>
                <w:szCs w:val="21"/>
              </w:rPr>
              <w:t>教学</w:t>
            </w:r>
          </w:p>
          <w:p>
            <w:pPr>
              <w:spacing w:line="312" w:lineRule="auto"/>
              <w:jc w:val="center"/>
              <w:rPr>
                <w:rFonts w:ascii="宋体" w:hAnsi="Calibri" w:eastAsia="宋体" w:cs="Times New Roman"/>
                <w:color w:val="auto"/>
                <w:szCs w:val="21"/>
              </w:rPr>
            </w:pPr>
            <w:r>
              <w:rPr>
                <w:rFonts w:hint="eastAsia" w:ascii="宋体" w:hAnsi="宋体" w:eastAsia="宋体" w:cs="宋体"/>
                <w:color w:val="auto"/>
                <w:kern w:val="0"/>
                <w:szCs w:val="21"/>
              </w:rPr>
              <w:t>态度</w:t>
            </w: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Times New Roman"/>
                <w:color w:val="auto"/>
                <w:szCs w:val="21"/>
              </w:rPr>
            </w:pPr>
            <w:r>
              <w:rPr>
                <w:rFonts w:ascii="宋体" w:hAnsi="宋体" w:eastAsia="宋体" w:cs="宋体"/>
                <w:color w:val="auto"/>
                <w:kern w:val="0"/>
                <w:szCs w:val="21"/>
              </w:rPr>
              <w:t>1.</w:t>
            </w:r>
            <w:r>
              <w:rPr>
                <w:rFonts w:hint="eastAsia" w:ascii="宋体" w:hAnsi="宋体" w:eastAsia="宋体" w:cs="宋体"/>
                <w:color w:val="auto"/>
                <w:kern w:val="0"/>
                <w:szCs w:val="21"/>
              </w:rPr>
              <w:t>备课充分，内容充实，教案及时更新并</w:t>
            </w:r>
            <w:r>
              <w:rPr>
                <w:rFonts w:hint="eastAsia" w:ascii="宋体" w:hAnsi="宋体" w:eastAsia="宋体" w:cs="宋体"/>
                <w:color w:val="auto"/>
                <w:kern w:val="0"/>
                <w:szCs w:val="21"/>
                <w:lang w:eastAsia="zh-CN"/>
              </w:rPr>
              <w:t>二级学院</w:t>
            </w:r>
            <w:r>
              <w:rPr>
                <w:rFonts w:hint="eastAsia" w:ascii="宋体" w:hAnsi="宋体" w:eastAsia="宋体" w:cs="宋体"/>
                <w:color w:val="auto"/>
                <w:kern w:val="0"/>
                <w:szCs w:val="21"/>
              </w:rPr>
              <w:t>统完整、规范</w:t>
            </w:r>
          </w:p>
        </w:tc>
        <w:tc>
          <w:tcPr>
            <w:tcW w:w="850"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Times New Roman"/>
                <w:color w:val="auto"/>
                <w:szCs w:val="21"/>
              </w:rPr>
            </w:pPr>
            <w:r>
              <w:rPr>
                <w:rFonts w:ascii="宋体" w:hAnsi="宋体" w:eastAsia="宋体" w:cs="宋体"/>
                <w:color w:val="auto"/>
                <w:kern w:val="0"/>
                <w:szCs w:val="21"/>
              </w:rPr>
              <w:t>15</w:t>
            </w:r>
          </w:p>
        </w:tc>
        <w:tc>
          <w:tcPr>
            <w:tcW w:w="709" w:type="dxa"/>
            <w:tcBorders>
              <w:top w:val="single" w:color="auto" w:sz="6" w:space="0"/>
              <w:left w:val="single" w:color="auto" w:sz="6" w:space="0"/>
              <w:right w:val="single" w:color="auto" w:sz="6" w:space="0"/>
            </w:tcBorders>
            <w:noWrap w:val="0"/>
            <w:vAlign w:val="top"/>
          </w:tcPr>
          <w:p>
            <w:pPr>
              <w:spacing w:line="312" w:lineRule="auto"/>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2.</w:t>
            </w:r>
            <w:r>
              <w:rPr>
                <w:rFonts w:hint="eastAsia" w:ascii="宋体" w:hAnsi="宋体" w:eastAsia="宋体" w:cs="宋体"/>
                <w:color w:val="auto"/>
                <w:kern w:val="0"/>
                <w:szCs w:val="21"/>
              </w:rPr>
              <w:t>治学严谨，授课认真</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bottom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3.</w:t>
            </w:r>
            <w:r>
              <w:rPr>
                <w:rFonts w:hint="eastAsia" w:ascii="宋体" w:hAnsi="宋体" w:eastAsia="宋体" w:cs="宋体"/>
                <w:color w:val="auto"/>
                <w:kern w:val="0"/>
                <w:szCs w:val="21"/>
              </w:rPr>
              <w:t>教书育人，言传身教，严格执行教学纪律</w:t>
            </w:r>
          </w:p>
        </w:tc>
        <w:tc>
          <w:tcPr>
            <w:tcW w:w="850" w:type="dxa"/>
            <w:vMerge w:val="continue"/>
            <w:tcBorders>
              <w:left w:val="single" w:color="auto" w:sz="6" w:space="0"/>
              <w:bottom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bottom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宋体"/>
                <w:color w:val="auto"/>
                <w:kern w:val="0"/>
                <w:szCs w:val="21"/>
              </w:rPr>
            </w:pPr>
            <w:r>
              <w:rPr>
                <w:rFonts w:hint="eastAsia" w:ascii="宋体" w:hAnsi="宋体" w:eastAsia="宋体" w:cs="宋体"/>
                <w:color w:val="auto"/>
                <w:kern w:val="0"/>
                <w:szCs w:val="21"/>
              </w:rPr>
              <w:t>教学</w:t>
            </w:r>
          </w:p>
          <w:p>
            <w:pPr>
              <w:spacing w:line="312" w:lineRule="auto"/>
              <w:jc w:val="center"/>
              <w:rPr>
                <w:rFonts w:ascii="宋体" w:hAnsi="Calibri" w:eastAsia="宋体" w:cs="Times New Roman"/>
                <w:color w:val="auto"/>
                <w:szCs w:val="21"/>
              </w:rPr>
            </w:pPr>
            <w:r>
              <w:rPr>
                <w:rFonts w:hint="eastAsia" w:ascii="宋体" w:hAnsi="宋体" w:eastAsia="宋体" w:cs="宋体"/>
                <w:color w:val="auto"/>
                <w:kern w:val="0"/>
                <w:szCs w:val="21"/>
              </w:rPr>
              <w:t>内容</w:t>
            </w: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Times New Roman"/>
                <w:color w:val="auto"/>
                <w:szCs w:val="21"/>
              </w:rPr>
            </w:pPr>
            <w:r>
              <w:rPr>
                <w:rFonts w:ascii="宋体" w:hAnsi="宋体" w:eastAsia="宋体" w:cs="宋体"/>
                <w:color w:val="auto"/>
                <w:kern w:val="0"/>
                <w:szCs w:val="21"/>
              </w:rPr>
              <w:t>4.</w:t>
            </w:r>
            <w:r>
              <w:rPr>
                <w:rFonts w:hint="eastAsia" w:ascii="宋体" w:hAnsi="宋体" w:eastAsia="宋体" w:cs="宋体"/>
                <w:color w:val="auto"/>
                <w:kern w:val="0"/>
                <w:szCs w:val="21"/>
              </w:rPr>
              <w:t>教学目的明确，讲授内容丰富充实</w:t>
            </w:r>
          </w:p>
        </w:tc>
        <w:tc>
          <w:tcPr>
            <w:tcW w:w="850"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Times New Roman"/>
                <w:color w:val="auto"/>
                <w:szCs w:val="21"/>
              </w:rPr>
            </w:pPr>
            <w:r>
              <w:rPr>
                <w:rFonts w:ascii="宋体" w:hAnsi="宋体" w:eastAsia="宋体" w:cs="宋体"/>
                <w:color w:val="auto"/>
                <w:kern w:val="0"/>
                <w:szCs w:val="21"/>
              </w:rPr>
              <w:t>25</w:t>
            </w:r>
          </w:p>
        </w:tc>
        <w:tc>
          <w:tcPr>
            <w:tcW w:w="709" w:type="dxa"/>
            <w:tcBorders>
              <w:top w:val="single" w:color="auto" w:sz="6" w:space="0"/>
              <w:left w:val="single" w:color="auto" w:sz="6" w:space="0"/>
              <w:right w:val="single" w:color="auto" w:sz="6" w:space="0"/>
            </w:tcBorders>
            <w:noWrap w:val="0"/>
            <w:vAlign w:val="top"/>
          </w:tcPr>
          <w:p>
            <w:pPr>
              <w:spacing w:line="312" w:lineRule="auto"/>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5.</w:t>
            </w:r>
            <w:r>
              <w:rPr>
                <w:rFonts w:hint="eastAsia" w:ascii="宋体" w:hAnsi="宋体" w:eastAsia="宋体" w:cs="宋体"/>
                <w:color w:val="auto"/>
                <w:kern w:val="0"/>
                <w:szCs w:val="21"/>
              </w:rPr>
              <w:t>基本概念、理论讲解清楚，分析透彻</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6.</w:t>
            </w:r>
            <w:r>
              <w:rPr>
                <w:rFonts w:hint="eastAsia" w:ascii="宋体" w:hAnsi="宋体" w:eastAsia="宋体" w:cs="宋体"/>
                <w:color w:val="auto"/>
                <w:kern w:val="0"/>
                <w:szCs w:val="21"/>
              </w:rPr>
              <w:t>突出重点、新知识，突破难点</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7.</w:t>
            </w:r>
            <w:r>
              <w:rPr>
                <w:rFonts w:hint="eastAsia" w:ascii="宋体" w:hAnsi="宋体" w:eastAsia="宋体" w:cs="宋体"/>
                <w:color w:val="auto"/>
                <w:kern w:val="0"/>
                <w:szCs w:val="21"/>
              </w:rPr>
              <w:t>教学内容先进、科学，</w:t>
            </w:r>
            <w:r>
              <w:rPr>
                <w:rFonts w:hint="eastAsia" w:ascii="宋体" w:hAnsi="宋体" w:eastAsia="宋体" w:cs="宋体"/>
                <w:color w:val="auto"/>
                <w:kern w:val="0"/>
                <w:szCs w:val="21"/>
                <w:lang w:eastAsia="zh-CN"/>
              </w:rPr>
              <w:t>二级学院</w:t>
            </w:r>
            <w:r>
              <w:rPr>
                <w:rFonts w:hint="eastAsia" w:ascii="宋体" w:hAnsi="宋体" w:eastAsia="宋体" w:cs="宋体"/>
                <w:color w:val="auto"/>
                <w:kern w:val="0"/>
                <w:szCs w:val="21"/>
              </w:rPr>
              <w:t>统性、逻辑性强</w:t>
            </w:r>
            <w:r>
              <w:rPr>
                <w:rFonts w:hint="eastAsia" w:ascii="宋体" w:hAnsi="宋体" w:eastAsia="宋体" w:cs="Times New Roman"/>
                <w:color w:val="auto"/>
                <w:szCs w:val="21"/>
              </w:rPr>
              <w:t>，</w:t>
            </w:r>
            <w:r>
              <w:rPr>
                <w:rFonts w:hint="eastAsia" w:ascii="宋体" w:hAnsi="宋体" w:eastAsia="宋体" w:cs="宋体"/>
                <w:color w:val="auto"/>
                <w:kern w:val="0"/>
                <w:szCs w:val="21"/>
              </w:rPr>
              <w:t>教学过程完整、紧凑，</w:t>
            </w:r>
            <w:r>
              <w:rPr>
                <w:rFonts w:hint="eastAsia" w:ascii="宋体" w:hAnsi="宋体" w:eastAsia="宋体" w:cs="Times New Roman"/>
                <w:color w:val="auto"/>
                <w:szCs w:val="21"/>
              </w:rPr>
              <w:t>进度适中</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bottom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8.</w:t>
            </w:r>
            <w:r>
              <w:rPr>
                <w:rFonts w:hint="eastAsia" w:ascii="宋体" w:hAnsi="宋体" w:eastAsia="宋体" w:cs="宋体"/>
                <w:color w:val="auto"/>
                <w:kern w:val="0"/>
                <w:szCs w:val="21"/>
              </w:rPr>
              <w:t>理论联</w:t>
            </w:r>
            <w:r>
              <w:rPr>
                <w:rFonts w:hint="eastAsia" w:ascii="宋体" w:hAnsi="宋体" w:eastAsia="宋体" w:cs="宋体"/>
                <w:color w:val="auto"/>
                <w:kern w:val="0"/>
                <w:szCs w:val="21"/>
                <w:lang w:eastAsia="zh-CN"/>
              </w:rPr>
              <w:t>二级学院</w:t>
            </w:r>
            <w:r>
              <w:rPr>
                <w:rFonts w:hint="eastAsia" w:ascii="宋体" w:hAnsi="宋体" w:eastAsia="宋体" w:cs="宋体"/>
                <w:color w:val="auto"/>
                <w:kern w:val="0"/>
                <w:szCs w:val="21"/>
              </w:rPr>
              <w:t>实际，善于吸收最新研究成果</w:t>
            </w:r>
          </w:p>
        </w:tc>
        <w:tc>
          <w:tcPr>
            <w:tcW w:w="850" w:type="dxa"/>
            <w:vMerge w:val="continue"/>
            <w:tcBorders>
              <w:left w:val="single" w:color="auto" w:sz="6" w:space="0"/>
              <w:bottom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bottom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宋体"/>
                <w:color w:val="auto"/>
                <w:kern w:val="0"/>
                <w:szCs w:val="21"/>
              </w:rPr>
            </w:pPr>
            <w:r>
              <w:rPr>
                <w:rFonts w:hint="eastAsia" w:ascii="宋体" w:hAnsi="宋体" w:eastAsia="宋体" w:cs="宋体"/>
                <w:color w:val="auto"/>
                <w:kern w:val="0"/>
                <w:szCs w:val="21"/>
              </w:rPr>
              <w:t>教学</w:t>
            </w:r>
          </w:p>
          <w:p>
            <w:pPr>
              <w:spacing w:line="312" w:lineRule="auto"/>
              <w:jc w:val="center"/>
              <w:rPr>
                <w:rFonts w:ascii="宋体" w:hAnsi="Calibri" w:eastAsia="宋体" w:cs="Times New Roman"/>
                <w:color w:val="auto"/>
                <w:szCs w:val="21"/>
              </w:rPr>
            </w:pPr>
            <w:r>
              <w:rPr>
                <w:rFonts w:hint="eastAsia" w:ascii="宋体" w:hAnsi="宋体" w:eastAsia="宋体" w:cs="宋体"/>
                <w:color w:val="auto"/>
                <w:kern w:val="0"/>
                <w:szCs w:val="21"/>
              </w:rPr>
              <w:t>方法</w:t>
            </w: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Times New Roman"/>
                <w:color w:val="auto"/>
                <w:szCs w:val="21"/>
              </w:rPr>
            </w:pPr>
            <w:r>
              <w:rPr>
                <w:rFonts w:ascii="宋体" w:hAnsi="宋体" w:eastAsia="宋体" w:cs="宋体"/>
                <w:color w:val="auto"/>
                <w:kern w:val="0"/>
                <w:szCs w:val="21"/>
              </w:rPr>
              <w:t>9.</w:t>
            </w:r>
            <w:r>
              <w:rPr>
                <w:rFonts w:hint="eastAsia" w:ascii="宋体" w:hAnsi="宋体" w:eastAsia="宋体" w:cs="宋体"/>
                <w:color w:val="auto"/>
                <w:kern w:val="0"/>
                <w:szCs w:val="21"/>
              </w:rPr>
              <w:t>讲授准确、生动，教学气氛活跃，普通话标准，语言生动流畅</w:t>
            </w:r>
          </w:p>
        </w:tc>
        <w:tc>
          <w:tcPr>
            <w:tcW w:w="850"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Times New Roman"/>
                <w:color w:val="auto"/>
                <w:szCs w:val="21"/>
              </w:rPr>
            </w:pPr>
            <w:r>
              <w:rPr>
                <w:rFonts w:ascii="宋体" w:hAnsi="宋体" w:eastAsia="宋体" w:cs="宋体"/>
                <w:color w:val="auto"/>
                <w:kern w:val="0"/>
                <w:szCs w:val="21"/>
              </w:rPr>
              <w:t>20</w:t>
            </w:r>
          </w:p>
        </w:tc>
        <w:tc>
          <w:tcPr>
            <w:tcW w:w="709" w:type="dxa"/>
            <w:tcBorders>
              <w:top w:val="single" w:color="auto" w:sz="6" w:space="0"/>
              <w:left w:val="single" w:color="auto" w:sz="6" w:space="0"/>
              <w:right w:val="single" w:color="auto" w:sz="6" w:space="0"/>
            </w:tcBorders>
            <w:noWrap w:val="0"/>
            <w:vAlign w:val="top"/>
          </w:tcPr>
          <w:p>
            <w:pPr>
              <w:spacing w:line="312" w:lineRule="auto"/>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10.</w:t>
            </w:r>
            <w:r>
              <w:rPr>
                <w:rFonts w:hint="eastAsia" w:ascii="宋体" w:hAnsi="宋体" w:eastAsia="宋体" w:cs="宋体"/>
                <w:color w:val="auto"/>
                <w:kern w:val="0"/>
                <w:szCs w:val="21"/>
              </w:rPr>
              <w:t>注意培养并激发学生的学习兴趣和主动性</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11.</w:t>
            </w:r>
            <w:r>
              <w:rPr>
                <w:rFonts w:hint="eastAsia" w:ascii="宋体" w:hAnsi="宋体" w:eastAsia="宋体" w:cs="宋体"/>
                <w:color w:val="auto"/>
                <w:kern w:val="0"/>
                <w:szCs w:val="21"/>
              </w:rPr>
              <w:t>注意培养学生分析问题和解决问题的能力</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12.</w:t>
            </w:r>
            <w:r>
              <w:rPr>
                <w:rFonts w:hint="eastAsia" w:ascii="宋体" w:hAnsi="宋体" w:eastAsia="宋体" w:cs="宋体"/>
                <w:color w:val="auto"/>
                <w:kern w:val="0"/>
                <w:szCs w:val="21"/>
              </w:rPr>
              <w:t>注重给予学生学习方法的指导</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bottom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13.</w:t>
            </w:r>
            <w:r>
              <w:rPr>
                <w:rFonts w:hint="eastAsia" w:ascii="宋体" w:hAnsi="宋体" w:eastAsia="宋体" w:cs="宋体"/>
                <w:color w:val="auto"/>
                <w:kern w:val="0"/>
                <w:szCs w:val="21"/>
              </w:rPr>
              <w:t>熟练运用多媒体等现代化辅助教学手段</w:t>
            </w:r>
          </w:p>
        </w:tc>
        <w:tc>
          <w:tcPr>
            <w:tcW w:w="850" w:type="dxa"/>
            <w:vMerge w:val="continue"/>
            <w:tcBorders>
              <w:left w:val="single" w:color="auto" w:sz="6" w:space="0"/>
              <w:bottom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宋体"/>
                <w:color w:val="auto"/>
                <w:kern w:val="0"/>
                <w:szCs w:val="21"/>
              </w:rPr>
            </w:pPr>
          </w:p>
        </w:tc>
        <w:tc>
          <w:tcPr>
            <w:tcW w:w="709" w:type="dxa"/>
            <w:tcBorders>
              <w:left w:val="single" w:color="auto" w:sz="6" w:space="0"/>
              <w:bottom w:val="single" w:color="auto" w:sz="6" w:space="0"/>
              <w:right w:val="single" w:color="auto" w:sz="6" w:space="0"/>
            </w:tcBorders>
            <w:noWrap w:val="0"/>
            <w:vAlign w:val="top"/>
          </w:tcPr>
          <w:p>
            <w:pPr>
              <w:spacing w:line="312" w:lineRule="auto"/>
              <w:ind w:firstLine="420" w:firstLineChars="200"/>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宋体"/>
                <w:color w:val="auto"/>
                <w:kern w:val="0"/>
                <w:szCs w:val="21"/>
              </w:rPr>
            </w:pPr>
            <w:r>
              <w:rPr>
                <w:rFonts w:hint="eastAsia" w:ascii="宋体" w:hAnsi="宋体" w:eastAsia="宋体" w:cs="宋体"/>
                <w:color w:val="auto"/>
                <w:kern w:val="0"/>
                <w:szCs w:val="21"/>
              </w:rPr>
              <w:t>教学</w:t>
            </w:r>
          </w:p>
          <w:p>
            <w:pPr>
              <w:spacing w:line="312" w:lineRule="auto"/>
              <w:jc w:val="center"/>
              <w:rPr>
                <w:rFonts w:ascii="宋体" w:hAnsi="Calibri" w:eastAsia="宋体" w:cs="Times New Roman"/>
                <w:color w:val="auto"/>
                <w:szCs w:val="21"/>
              </w:rPr>
            </w:pPr>
            <w:r>
              <w:rPr>
                <w:rFonts w:hint="eastAsia" w:ascii="宋体" w:hAnsi="宋体" w:eastAsia="宋体" w:cs="宋体"/>
                <w:color w:val="auto"/>
                <w:kern w:val="0"/>
                <w:szCs w:val="21"/>
              </w:rPr>
              <w:t>效果</w:t>
            </w: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Times New Roman"/>
                <w:color w:val="auto"/>
                <w:szCs w:val="21"/>
              </w:rPr>
            </w:pPr>
            <w:r>
              <w:rPr>
                <w:rFonts w:ascii="宋体" w:hAnsi="宋体" w:eastAsia="宋体" w:cs="宋体"/>
                <w:color w:val="auto"/>
                <w:kern w:val="0"/>
                <w:szCs w:val="21"/>
              </w:rPr>
              <w:t>14.</w:t>
            </w:r>
            <w:r>
              <w:rPr>
                <w:rFonts w:hint="eastAsia" w:ascii="宋体" w:hAnsi="宋体" w:eastAsia="宋体" w:cs="宋体"/>
                <w:color w:val="auto"/>
                <w:kern w:val="0"/>
                <w:szCs w:val="21"/>
              </w:rPr>
              <w:t>学生全面熟练地掌握了该课程的基本理论、基础知识</w:t>
            </w:r>
          </w:p>
        </w:tc>
        <w:tc>
          <w:tcPr>
            <w:tcW w:w="850" w:type="dxa"/>
            <w:vMerge w:val="restart"/>
            <w:tcBorders>
              <w:top w:val="single" w:color="auto" w:sz="6" w:space="0"/>
              <w:left w:val="single" w:color="auto" w:sz="6" w:space="0"/>
              <w:right w:val="single" w:color="auto" w:sz="6" w:space="0"/>
            </w:tcBorders>
            <w:noWrap w:val="0"/>
            <w:vAlign w:val="center"/>
          </w:tcPr>
          <w:p>
            <w:pPr>
              <w:spacing w:line="312" w:lineRule="auto"/>
              <w:jc w:val="center"/>
              <w:rPr>
                <w:rFonts w:ascii="宋体" w:hAnsi="Calibri" w:eastAsia="宋体" w:cs="Times New Roman"/>
                <w:color w:val="auto"/>
                <w:szCs w:val="21"/>
              </w:rPr>
            </w:pPr>
            <w:r>
              <w:rPr>
                <w:rFonts w:ascii="宋体" w:hAnsi="宋体" w:eastAsia="宋体" w:cs="宋体"/>
                <w:color w:val="auto"/>
                <w:kern w:val="0"/>
                <w:szCs w:val="21"/>
              </w:rPr>
              <w:t>20</w:t>
            </w:r>
          </w:p>
        </w:tc>
        <w:tc>
          <w:tcPr>
            <w:tcW w:w="709" w:type="dxa"/>
            <w:tcBorders>
              <w:top w:val="single" w:color="auto" w:sz="6" w:space="0"/>
              <w:left w:val="single" w:color="auto" w:sz="6" w:space="0"/>
              <w:right w:val="single" w:color="auto" w:sz="6" w:space="0"/>
            </w:tcBorders>
            <w:noWrap w:val="0"/>
            <w:vAlign w:val="top"/>
          </w:tcPr>
          <w:p>
            <w:pPr>
              <w:spacing w:line="312" w:lineRule="auto"/>
              <w:jc w:val="left"/>
              <w:rPr>
                <w:rFonts w:ascii="宋体" w:hAnsi="Calibri" w:eastAsia="宋体" w:cs="宋体"/>
                <w:color w:val="auto"/>
                <w:kern w:val="0"/>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right w:val="single" w:color="auto" w:sz="6" w:space="0"/>
            </w:tcBorders>
            <w:noWrap w:val="0"/>
            <w:vAlign w:val="top"/>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15.</w:t>
            </w:r>
            <w:r>
              <w:rPr>
                <w:rFonts w:hint="eastAsia" w:ascii="宋体" w:hAnsi="宋体" w:eastAsia="宋体" w:cs="宋体"/>
                <w:color w:val="auto"/>
                <w:kern w:val="0"/>
                <w:szCs w:val="21"/>
              </w:rPr>
              <w:t>提高了学生分析问题和解决问题的能力</w:t>
            </w:r>
          </w:p>
        </w:tc>
        <w:tc>
          <w:tcPr>
            <w:tcW w:w="850" w:type="dxa"/>
            <w:vMerge w:val="continue"/>
            <w:tcBorders>
              <w:left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Times New Roman"/>
                <w:color w:val="auto"/>
                <w:szCs w:val="21"/>
              </w:rPr>
            </w:pPr>
          </w:p>
        </w:tc>
        <w:tc>
          <w:tcPr>
            <w:tcW w:w="709" w:type="dxa"/>
            <w:vMerge w:val="restart"/>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Times New Roman"/>
                <w:color w:val="auto"/>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bottom w:val="single" w:color="auto" w:sz="6" w:space="0"/>
              <w:right w:val="single" w:color="auto" w:sz="6" w:space="0"/>
            </w:tcBorders>
            <w:noWrap w:val="0"/>
            <w:vAlign w:val="top"/>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16.</w:t>
            </w:r>
            <w:r>
              <w:rPr>
                <w:rFonts w:hint="eastAsia" w:ascii="宋体" w:hAnsi="宋体" w:eastAsia="宋体" w:cs="宋体"/>
                <w:color w:val="auto"/>
                <w:kern w:val="0"/>
                <w:szCs w:val="21"/>
              </w:rPr>
              <w:t>能激发学生学习兴趣，调动学生学习积极性，有助于学生养成良好学习习惯</w:t>
            </w:r>
          </w:p>
        </w:tc>
        <w:tc>
          <w:tcPr>
            <w:tcW w:w="850" w:type="dxa"/>
            <w:vMerge w:val="continue"/>
            <w:tcBorders>
              <w:left w:val="single" w:color="auto" w:sz="6" w:space="0"/>
              <w:bottom w:val="single" w:color="auto" w:sz="6" w:space="0"/>
              <w:right w:val="single" w:color="auto" w:sz="6" w:space="0"/>
            </w:tcBorders>
            <w:noWrap w:val="0"/>
            <w:vAlign w:val="center"/>
          </w:tcPr>
          <w:p>
            <w:pPr>
              <w:spacing w:line="312" w:lineRule="auto"/>
              <w:ind w:firstLine="420" w:firstLineChars="200"/>
              <w:jc w:val="center"/>
              <w:rPr>
                <w:rFonts w:ascii="宋体" w:hAnsi="Calibri" w:eastAsia="宋体" w:cs="Times New Roman"/>
                <w:color w:val="auto"/>
                <w:szCs w:val="21"/>
              </w:rPr>
            </w:pPr>
          </w:p>
        </w:tc>
        <w:tc>
          <w:tcPr>
            <w:tcW w:w="709" w:type="dxa"/>
            <w:vMerge w:val="continue"/>
            <w:tcBorders>
              <w:left w:val="single" w:color="auto" w:sz="6" w:space="0"/>
              <w:right w:val="single" w:color="auto" w:sz="6" w:space="0"/>
            </w:tcBorders>
            <w:noWrap w:val="0"/>
            <w:vAlign w:val="top"/>
          </w:tcPr>
          <w:p>
            <w:pPr>
              <w:spacing w:line="312" w:lineRule="auto"/>
              <w:ind w:firstLine="420" w:firstLineChars="200"/>
              <w:jc w:val="left"/>
              <w:rPr>
                <w:rFonts w:ascii="宋体" w:hAnsi="Calibri" w:eastAsia="宋体" w:cs="Times New Roman"/>
                <w:color w:val="auto"/>
                <w:szCs w:val="21"/>
              </w:rPr>
            </w:pPr>
          </w:p>
        </w:tc>
      </w:tr>
      <w:tr>
        <w:tblPrEx>
          <w:tblLayout w:type="fixed"/>
          <w:tblCellMar>
            <w:top w:w="0" w:type="dxa"/>
            <w:left w:w="108" w:type="dxa"/>
            <w:bottom w:w="0" w:type="dxa"/>
            <w:right w:w="108" w:type="dxa"/>
          </w:tblCellMar>
        </w:tblPrEx>
        <w:trPr>
          <w:trHeight w:val="20" w:hRule="atLeast"/>
        </w:trPr>
        <w:tc>
          <w:tcPr>
            <w:tcW w:w="959" w:type="dxa"/>
            <w:vMerge w:val="continue"/>
            <w:tcBorders>
              <w:left w:val="single" w:color="auto" w:sz="6" w:space="0"/>
              <w:bottom w:val="single" w:color="auto" w:sz="4" w:space="0"/>
              <w:right w:val="single" w:color="auto" w:sz="6" w:space="0"/>
            </w:tcBorders>
            <w:noWrap w:val="0"/>
            <w:vAlign w:val="top"/>
          </w:tcPr>
          <w:p>
            <w:pPr>
              <w:spacing w:line="312" w:lineRule="auto"/>
              <w:ind w:firstLine="420" w:firstLineChars="200"/>
              <w:jc w:val="center"/>
              <w:rPr>
                <w:rFonts w:ascii="宋体" w:hAnsi="Calibri" w:eastAsia="宋体" w:cs="宋体"/>
                <w:color w:val="auto"/>
                <w:kern w:val="0"/>
                <w:szCs w:val="21"/>
              </w:rPr>
            </w:pPr>
          </w:p>
        </w:tc>
        <w:tc>
          <w:tcPr>
            <w:tcW w:w="6237" w:type="dxa"/>
            <w:tcBorders>
              <w:top w:val="single" w:color="auto" w:sz="6" w:space="0"/>
              <w:left w:val="single" w:color="auto" w:sz="6" w:space="0"/>
              <w:bottom w:val="single" w:color="auto" w:sz="4"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17.</w:t>
            </w:r>
            <w:r>
              <w:rPr>
                <w:rFonts w:hint="eastAsia" w:ascii="宋体" w:hAnsi="宋体" w:eastAsia="宋体" w:cs="Times New Roman"/>
                <w:color w:val="auto"/>
                <w:szCs w:val="21"/>
              </w:rPr>
              <w:t>课堂效率高，教学秩序良好，气氛活跃</w:t>
            </w:r>
          </w:p>
        </w:tc>
        <w:tc>
          <w:tcPr>
            <w:tcW w:w="850" w:type="dxa"/>
            <w:vMerge w:val="continue"/>
            <w:tcBorders>
              <w:left w:val="single" w:color="auto" w:sz="6" w:space="0"/>
              <w:bottom w:val="single" w:color="auto" w:sz="4" w:space="0"/>
              <w:right w:val="single" w:color="auto" w:sz="6" w:space="0"/>
            </w:tcBorders>
            <w:noWrap w:val="0"/>
            <w:vAlign w:val="center"/>
          </w:tcPr>
          <w:p>
            <w:pPr>
              <w:spacing w:line="312" w:lineRule="auto"/>
              <w:ind w:firstLine="420" w:firstLineChars="200"/>
              <w:jc w:val="center"/>
              <w:rPr>
                <w:rFonts w:ascii="宋体" w:hAnsi="Calibri" w:eastAsia="宋体" w:cs="Times New Roman"/>
                <w:color w:val="auto"/>
                <w:szCs w:val="21"/>
              </w:rPr>
            </w:pPr>
          </w:p>
        </w:tc>
        <w:tc>
          <w:tcPr>
            <w:tcW w:w="709" w:type="dxa"/>
            <w:vMerge w:val="continue"/>
            <w:tcBorders>
              <w:left w:val="single" w:color="auto" w:sz="6" w:space="0"/>
              <w:bottom w:val="single" w:color="auto" w:sz="4" w:space="0"/>
              <w:right w:val="single" w:color="auto" w:sz="6" w:space="0"/>
            </w:tcBorders>
            <w:noWrap w:val="0"/>
            <w:vAlign w:val="top"/>
          </w:tcPr>
          <w:p>
            <w:pPr>
              <w:spacing w:line="312" w:lineRule="auto"/>
              <w:ind w:firstLine="420" w:firstLineChars="200"/>
              <w:jc w:val="left"/>
              <w:rPr>
                <w:rFonts w:ascii="宋体" w:hAnsi="Calibri" w:eastAsia="宋体" w:cs="Times New Roman"/>
                <w:color w:val="auto"/>
                <w:szCs w:val="21"/>
              </w:rPr>
            </w:pPr>
          </w:p>
        </w:tc>
      </w:tr>
      <w:tr>
        <w:tblPrEx>
          <w:tblLayout w:type="fixed"/>
          <w:tblCellMar>
            <w:top w:w="0" w:type="dxa"/>
            <w:left w:w="108" w:type="dxa"/>
            <w:bottom w:w="0" w:type="dxa"/>
            <w:right w:w="108" w:type="dxa"/>
          </w:tblCellMar>
        </w:tblPrEx>
        <w:trPr>
          <w:trHeight w:val="567" w:hRule="atLeast"/>
        </w:trPr>
        <w:tc>
          <w:tcPr>
            <w:tcW w:w="959" w:type="dxa"/>
            <w:vMerge w:val="restart"/>
            <w:tcBorders>
              <w:top w:val="single" w:color="auto" w:sz="4" w:space="0"/>
              <w:left w:val="single" w:color="auto" w:sz="6" w:space="0"/>
              <w:right w:val="single" w:color="auto" w:sz="6" w:space="0"/>
            </w:tcBorders>
            <w:noWrap w:val="0"/>
            <w:vAlign w:val="center"/>
          </w:tcPr>
          <w:p>
            <w:pPr>
              <w:spacing w:line="312" w:lineRule="auto"/>
              <w:jc w:val="center"/>
              <w:rPr>
                <w:rFonts w:ascii="宋体" w:hAnsi="Calibri" w:eastAsia="宋体" w:cs="宋体"/>
                <w:color w:val="auto"/>
                <w:kern w:val="0"/>
                <w:szCs w:val="21"/>
              </w:rPr>
            </w:pPr>
            <w:r>
              <w:rPr>
                <w:rFonts w:hint="eastAsia" w:ascii="宋体" w:hAnsi="宋体" w:eastAsia="宋体" w:cs="宋体"/>
                <w:color w:val="auto"/>
                <w:kern w:val="0"/>
                <w:szCs w:val="21"/>
              </w:rPr>
              <w:t>教学</w:t>
            </w:r>
          </w:p>
          <w:p>
            <w:pPr>
              <w:spacing w:line="312" w:lineRule="auto"/>
              <w:jc w:val="center"/>
              <w:rPr>
                <w:rFonts w:ascii="宋体" w:hAnsi="Calibri" w:eastAsia="宋体" w:cs="宋体"/>
                <w:color w:val="auto"/>
                <w:kern w:val="0"/>
                <w:szCs w:val="21"/>
              </w:rPr>
            </w:pPr>
            <w:r>
              <w:rPr>
                <w:rFonts w:hint="eastAsia" w:ascii="宋体" w:hAnsi="宋体" w:eastAsia="宋体" w:cs="宋体"/>
                <w:color w:val="auto"/>
                <w:kern w:val="0"/>
                <w:szCs w:val="21"/>
              </w:rPr>
              <w:t>文档</w:t>
            </w:r>
          </w:p>
        </w:tc>
        <w:tc>
          <w:tcPr>
            <w:tcW w:w="6237" w:type="dxa"/>
            <w:tcBorders>
              <w:top w:val="single" w:color="auto" w:sz="4" w:space="0"/>
              <w:left w:val="single" w:color="auto" w:sz="6" w:space="0"/>
              <w:bottom w:val="single" w:color="auto" w:sz="4"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18.</w:t>
            </w:r>
            <w:r>
              <w:rPr>
                <w:rFonts w:hint="eastAsia" w:ascii="宋体" w:hAnsi="宋体" w:eastAsia="宋体" w:cs="宋体"/>
                <w:color w:val="auto"/>
                <w:kern w:val="0"/>
                <w:szCs w:val="21"/>
              </w:rPr>
              <w:t>教材、教案、讲义、</w:t>
            </w:r>
            <w:r>
              <w:rPr>
                <w:rFonts w:hint="eastAsia" w:ascii="宋体" w:hAnsi="宋体" w:eastAsia="宋体" w:cs="宋体"/>
                <w:color w:val="auto"/>
                <w:kern w:val="0"/>
                <w:szCs w:val="21"/>
                <w:lang w:eastAsia="zh-CN"/>
              </w:rPr>
              <w:t xml:space="preserve"> 课程标准</w:t>
            </w:r>
            <w:r>
              <w:rPr>
                <w:rFonts w:hint="eastAsia" w:ascii="宋体" w:hAnsi="宋体" w:eastAsia="宋体" w:cs="宋体"/>
                <w:color w:val="auto"/>
                <w:kern w:val="0"/>
                <w:szCs w:val="21"/>
              </w:rPr>
              <w:t>、考勤表、进度表等按要求携带</w:t>
            </w:r>
          </w:p>
        </w:tc>
        <w:tc>
          <w:tcPr>
            <w:tcW w:w="850" w:type="dxa"/>
            <w:vMerge w:val="restart"/>
            <w:tcBorders>
              <w:top w:val="single" w:color="auto" w:sz="4" w:space="0"/>
              <w:left w:val="single" w:color="auto" w:sz="6" w:space="0"/>
              <w:right w:val="single" w:color="auto" w:sz="6" w:space="0"/>
            </w:tcBorders>
            <w:noWrap w:val="0"/>
            <w:vAlign w:val="center"/>
          </w:tcPr>
          <w:p>
            <w:pPr>
              <w:spacing w:line="312" w:lineRule="auto"/>
              <w:jc w:val="center"/>
              <w:rPr>
                <w:rFonts w:ascii="宋体" w:hAnsi="Calibri" w:eastAsia="宋体" w:cs="Times New Roman"/>
                <w:color w:val="auto"/>
                <w:szCs w:val="21"/>
              </w:rPr>
            </w:pPr>
            <w:r>
              <w:rPr>
                <w:rFonts w:ascii="宋体" w:hAnsi="宋体" w:eastAsia="宋体" w:cs="Times New Roman"/>
                <w:color w:val="auto"/>
                <w:szCs w:val="21"/>
              </w:rPr>
              <w:t>20</w:t>
            </w:r>
          </w:p>
        </w:tc>
        <w:tc>
          <w:tcPr>
            <w:tcW w:w="709" w:type="dxa"/>
            <w:tcBorders>
              <w:top w:val="single" w:color="auto" w:sz="4" w:space="0"/>
              <w:left w:val="single" w:color="auto" w:sz="6" w:space="0"/>
              <w:right w:val="single" w:color="auto" w:sz="6" w:space="0"/>
            </w:tcBorders>
            <w:noWrap w:val="0"/>
            <w:vAlign w:val="top"/>
          </w:tcPr>
          <w:p>
            <w:pPr>
              <w:spacing w:line="312" w:lineRule="auto"/>
              <w:jc w:val="left"/>
              <w:rPr>
                <w:rFonts w:ascii="宋体" w:hAnsi="Calibri" w:eastAsia="宋体" w:cs="Times New Roman"/>
                <w:color w:val="auto"/>
                <w:szCs w:val="21"/>
              </w:rPr>
            </w:pPr>
          </w:p>
        </w:tc>
      </w:tr>
      <w:tr>
        <w:tblPrEx>
          <w:tblLayout w:type="fixed"/>
          <w:tblCellMar>
            <w:top w:w="0" w:type="dxa"/>
            <w:left w:w="108" w:type="dxa"/>
            <w:bottom w:w="0" w:type="dxa"/>
            <w:right w:w="108" w:type="dxa"/>
          </w:tblCellMar>
        </w:tblPrEx>
        <w:trPr>
          <w:trHeight w:val="419" w:hRule="atLeast"/>
        </w:trPr>
        <w:tc>
          <w:tcPr>
            <w:tcW w:w="959" w:type="dxa"/>
            <w:vMerge w:val="continue"/>
            <w:tcBorders>
              <w:left w:val="single" w:color="auto" w:sz="6" w:space="0"/>
              <w:bottom w:val="single" w:color="auto" w:sz="4" w:space="0"/>
              <w:right w:val="single" w:color="auto" w:sz="6" w:space="0"/>
            </w:tcBorders>
            <w:noWrap w:val="0"/>
            <w:vAlign w:val="center"/>
          </w:tcPr>
          <w:p>
            <w:pPr>
              <w:spacing w:line="312" w:lineRule="auto"/>
              <w:ind w:firstLine="420" w:firstLineChars="200"/>
              <w:jc w:val="left"/>
              <w:rPr>
                <w:rFonts w:ascii="宋体" w:hAnsi="Calibri" w:eastAsia="宋体" w:cs="宋体"/>
                <w:color w:val="auto"/>
                <w:kern w:val="0"/>
                <w:szCs w:val="21"/>
              </w:rPr>
            </w:pPr>
          </w:p>
        </w:tc>
        <w:tc>
          <w:tcPr>
            <w:tcW w:w="6237" w:type="dxa"/>
            <w:tcBorders>
              <w:top w:val="single" w:color="auto" w:sz="4" w:space="0"/>
              <w:left w:val="single" w:color="auto" w:sz="6" w:space="0"/>
              <w:bottom w:val="single" w:color="auto" w:sz="4" w:space="0"/>
              <w:right w:val="single" w:color="auto" w:sz="6" w:space="0"/>
            </w:tcBorders>
            <w:noWrap w:val="0"/>
            <w:vAlign w:val="center"/>
          </w:tcPr>
          <w:p>
            <w:pPr>
              <w:jc w:val="left"/>
              <w:rPr>
                <w:rFonts w:ascii="宋体" w:hAnsi="Calibri" w:eastAsia="宋体" w:cs="宋体"/>
                <w:color w:val="auto"/>
                <w:kern w:val="0"/>
                <w:szCs w:val="21"/>
              </w:rPr>
            </w:pPr>
            <w:r>
              <w:rPr>
                <w:rFonts w:ascii="宋体" w:hAnsi="宋体" w:eastAsia="宋体" w:cs="宋体"/>
                <w:color w:val="auto"/>
                <w:kern w:val="0"/>
                <w:szCs w:val="21"/>
              </w:rPr>
              <w:t>19.</w:t>
            </w:r>
            <w:r>
              <w:rPr>
                <w:rFonts w:hint="eastAsia" w:ascii="宋体" w:hAnsi="宋体" w:eastAsia="宋体" w:cs="宋体"/>
                <w:color w:val="auto"/>
                <w:kern w:val="0"/>
                <w:szCs w:val="21"/>
              </w:rPr>
              <w:t>教案、讲义编写规范、考勤表、进度表等填写完整准确</w:t>
            </w:r>
          </w:p>
        </w:tc>
        <w:tc>
          <w:tcPr>
            <w:tcW w:w="850" w:type="dxa"/>
            <w:vMerge w:val="continue"/>
            <w:tcBorders>
              <w:left w:val="single" w:color="auto" w:sz="6" w:space="0"/>
              <w:bottom w:val="single" w:color="auto" w:sz="4" w:space="0"/>
              <w:right w:val="single" w:color="auto" w:sz="6" w:space="0"/>
            </w:tcBorders>
            <w:noWrap w:val="0"/>
            <w:vAlign w:val="center"/>
          </w:tcPr>
          <w:p>
            <w:pPr>
              <w:spacing w:line="312" w:lineRule="auto"/>
              <w:ind w:firstLine="420" w:firstLineChars="200"/>
              <w:jc w:val="center"/>
              <w:rPr>
                <w:rFonts w:ascii="宋体" w:hAnsi="Calibri" w:eastAsia="宋体" w:cs="Times New Roman"/>
                <w:color w:val="auto"/>
                <w:szCs w:val="21"/>
              </w:rPr>
            </w:pPr>
          </w:p>
        </w:tc>
        <w:tc>
          <w:tcPr>
            <w:tcW w:w="709" w:type="dxa"/>
            <w:tcBorders>
              <w:left w:val="single" w:color="auto" w:sz="6" w:space="0"/>
              <w:bottom w:val="single" w:color="auto" w:sz="4" w:space="0"/>
              <w:right w:val="single" w:color="auto" w:sz="6" w:space="0"/>
            </w:tcBorders>
            <w:noWrap w:val="0"/>
            <w:vAlign w:val="top"/>
          </w:tcPr>
          <w:p>
            <w:pPr>
              <w:spacing w:line="312" w:lineRule="auto"/>
              <w:ind w:firstLine="420" w:firstLineChars="200"/>
              <w:jc w:val="left"/>
              <w:rPr>
                <w:rFonts w:ascii="宋体" w:hAnsi="Calibri" w:eastAsia="宋体" w:cs="Times New Roman"/>
                <w:color w:val="auto"/>
                <w:szCs w:val="21"/>
              </w:rPr>
            </w:pPr>
          </w:p>
        </w:tc>
      </w:tr>
      <w:tr>
        <w:tblPrEx>
          <w:tblLayout w:type="fixed"/>
          <w:tblCellMar>
            <w:top w:w="0" w:type="dxa"/>
            <w:left w:w="108" w:type="dxa"/>
            <w:bottom w:w="0" w:type="dxa"/>
            <w:right w:w="108" w:type="dxa"/>
          </w:tblCellMar>
        </w:tblPrEx>
        <w:trPr>
          <w:trHeight w:val="20" w:hRule="atLeast"/>
        </w:trPr>
        <w:tc>
          <w:tcPr>
            <w:tcW w:w="7196" w:type="dxa"/>
            <w:gridSpan w:val="2"/>
            <w:tcBorders>
              <w:top w:val="single" w:color="auto" w:sz="4" w:space="0"/>
              <w:left w:val="single" w:color="auto" w:sz="6" w:space="0"/>
              <w:bottom w:val="single" w:color="auto" w:sz="4" w:space="0"/>
              <w:right w:val="single" w:color="auto" w:sz="6" w:space="0"/>
            </w:tcBorders>
            <w:noWrap w:val="0"/>
            <w:vAlign w:val="center"/>
          </w:tcPr>
          <w:p>
            <w:pPr>
              <w:spacing w:line="312" w:lineRule="auto"/>
              <w:ind w:firstLine="420" w:firstLineChars="200"/>
              <w:jc w:val="left"/>
              <w:rPr>
                <w:rFonts w:ascii="宋体" w:hAnsi="Calibri" w:eastAsia="宋体" w:cs="宋体"/>
                <w:color w:val="auto"/>
                <w:kern w:val="0"/>
                <w:szCs w:val="21"/>
              </w:rPr>
            </w:pPr>
            <w:r>
              <w:rPr>
                <w:rFonts w:hint="eastAsia" w:ascii="宋体" w:hAnsi="宋体" w:eastAsia="宋体" w:cs="宋体"/>
                <w:color w:val="auto"/>
                <w:kern w:val="0"/>
                <w:szCs w:val="21"/>
              </w:rPr>
              <w:t>合</w:t>
            </w:r>
            <w:r>
              <w:rPr>
                <w:rFonts w:ascii="宋体" w:hAnsi="宋体" w:eastAsia="宋体" w:cs="宋体"/>
                <w:color w:val="auto"/>
                <w:kern w:val="0"/>
                <w:szCs w:val="21"/>
              </w:rPr>
              <w:t xml:space="preserve">     </w:t>
            </w:r>
            <w:r>
              <w:rPr>
                <w:rFonts w:hint="eastAsia" w:ascii="宋体" w:hAnsi="宋体" w:eastAsia="宋体" w:cs="宋体"/>
                <w:color w:val="auto"/>
                <w:kern w:val="0"/>
                <w:szCs w:val="21"/>
              </w:rPr>
              <w:t>计</w:t>
            </w:r>
          </w:p>
        </w:tc>
        <w:tc>
          <w:tcPr>
            <w:tcW w:w="850" w:type="dxa"/>
            <w:tcBorders>
              <w:top w:val="single" w:color="auto" w:sz="4" w:space="0"/>
              <w:left w:val="single" w:color="auto" w:sz="6" w:space="0"/>
              <w:bottom w:val="single" w:color="auto" w:sz="4" w:space="0"/>
              <w:right w:val="single" w:color="auto" w:sz="6" w:space="0"/>
            </w:tcBorders>
            <w:noWrap w:val="0"/>
            <w:vAlign w:val="center"/>
          </w:tcPr>
          <w:p>
            <w:pPr>
              <w:spacing w:line="312" w:lineRule="auto"/>
              <w:jc w:val="center"/>
              <w:rPr>
                <w:rFonts w:ascii="宋体" w:hAnsi="Calibri" w:eastAsia="宋体" w:cs="Times New Roman"/>
                <w:color w:val="auto"/>
                <w:szCs w:val="21"/>
              </w:rPr>
            </w:pPr>
            <w:r>
              <w:rPr>
                <w:rFonts w:ascii="宋体" w:hAnsi="宋体" w:eastAsia="宋体" w:cs="Times New Roman"/>
                <w:color w:val="auto"/>
                <w:szCs w:val="21"/>
              </w:rPr>
              <w:fldChar w:fldCharType="begin"/>
            </w:r>
            <w:r>
              <w:rPr>
                <w:rFonts w:ascii="宋体" w:hAnsi="宋体" w:eastAsia="宋体" w:cs="Times New Roman"/>
                <w:color w:val="auto"/>
                <w:szCs w:val="21"/>
              </w:rPr>
              <w:instrText xml:space="preserve"> =SUM(ABOVE) </w:instrText>
            </w:r>
            <w:r>
              <w:rPr>
                <w:rFonts w:ascii="宋体" w:hAnsi="宋体" w:eastAsia="宋体" w:cs="Times New Roman"/>
                <w:color w:val="auto"/>
                <w:szCs w:val="21"/>
              </w:rPr>
              <w:fldChar w:fldCharType="separate"/>
            </w:r>
            <w:r>
              <w:rPr>
                <w:rFonts w:ascii="宋体" w:hAnsi="宋体" w:eastAsia="宋体" w:cs="Times New Roman"/>
                <w:color w:val="auto"/>
                <w:szCs w:val="21"/>
              </w:rPr>
              <w:t>1</w:t>
            </w:r>
            <w:r>
              <w:rPr>
                <w:rFonts w:ascii="宋体" w:hAnsi="宋体" w:eastAsia="宋体" w:cs="Times New Roman"/>
                <w:color w:val="auto"/>
                <w:szCs w:val="21"/>
              </w:rPr>
              <w:fldChar w:fldCharType="end"/>
            </w:r>
            <w:r>
              <w:rPr>
                <w:rFonts w:ascii="宋体" w:hAnsi="Calibri" w:eastAsia="宋体" w:cs="Times New Roman"/>
                <w:color w:val="auto"/>
                <w:szCs w:val="21"/>
              </w:rPr>
              <w:t>00</w:t>
            </w:r>
          </w:p>
        </w:tc>
        <w:tc>
          <w:tcPr>
            <w:tcW w:w="709" w:type="dxa"/>
            <w:tcBorders>
              <w:top w:val="single" w:color="auto" w:sz="4" w:space="0"/>
              <w:left w:val="single" w:color="auto" w:sz="6" w:space="0"/>
              <w:bottom w:val="single" w:color="auto" w:sz="4" w:space="0"/>
              <w:right w:val="single" w:color="auto" w:sz="6" w:space="0"/>
            </w:tcBorders>
            <w:noWrap w:val="0"/>
            <w:vAlign w:val="top"/>
          </w:tcPr>
          <w:p>
            <w:pPr>
              <w:spacing w:line="312" w:lineRule="auto"/>
              <w:ind w:firstLine="420" w:firstLineChars="200"/>
              <w:jc w:val="left"/>
              <w:rPr>
                <w:rFonts w:ascii="宋体" w:hAnsi="Calibri" w:eastAsia="宋体" w:cs="Times New Roman"/>
                <w:color w:val="auto"/>
                <w:szCs w:val="21"/>
              </w:rPr>
            </w:pPr>
          </w:p>
        </w:tc>
      </w:tr>
      <w:tr>
        <w:tblPrEx>
          <w:tblLayout w:type="fixed"/>
          <w:tblCellMar>
            <w:top w:w="0" w:type="dxa"/>
            <w:left w:w="108" w:type="dxa"/>
            <w:bottom w:w="0" w:type="dxa"/>
            <w:right w:w="108" w:type="dxa"/>
          </w:tblCellMar>
        </w:tblPrEx>
        <w:trPr>
          <w:trHeight w:val="20" w:hRule="atLeast"/>
        </w:trPr>
        <w:tc>
          <w:tcPr>
            <w:tcW w:w="959" w:type="dxa"/>
            <w:tcBorders>
              <w:top w:val="single" w:color="auto" w:sz="4" w:space="0"/>
              <w:left w:val="single" w:color="auto" w:sz="6" w:space="0"/>
              <w:bottom w:val="single" w:color="auto" w:sz="6" w:space="0"/>
              <w:right w:val="single" w:color="auto" w:sz="6" w:space="0"/>
            </w:tcBorders>
            <w:noWrap w:val="0"/>
            <w:vAlign w:val="center"/>
          </w:tcPr>
          <w:p>
            <w:pPr>
              <w:spacing w:line="312" w:lineRule="auto"/>
              <w:jc w:val="center"/>
              <w:rPr>
                <w:rFonts w:ascii="宋体" w:hAnsi="宋体" w:eastAsia="宋体" w:cs="宋体"/>
                <w:color w:val="auto"/>
                <w:kern w:val="0"/>
                <w:szCs w:val="21"/>
              </w:rPr>
            </w:pPr>
          </w:p>
          <w:p>
            <w:pPr>
              <w:spacing w:line="312" w:lineRule="auto"/>
              <w:jc w:val="center"/>
              <w:rPr>
                <w:rFonts w:ascii="宋体" w:hAnsi="宋体" w:eastAsia="宋体" w:cs="宋体"/>
                <w:color w:val="auto"/>
                <w:kern w:val="0"/>
                <w:szCs w:val="21"/>
              </w:rPr>
            </w:pPr>
            <w:r>
              <w:rPr>
                <w:rFonts w:hint="eastAsia" w:ascii="宋体" w:hAnsi="宋体" w:eastAsia="宋体" w:cs="宋体"/>
                <w:color w:val="auto"/>
                <w:kern w:val="0"/>
                <w:szCs w:val="21"/>
              </w:rPr>
              <w:t>建议</w:t>
            </w:r>
          </w:p>
          <w:p>
            <w:pPr>
              <w:spacing w:line="312" w:lineRule="auto"/>
              <w:ind w:firstLine="420" w:firstLineChars="200"/>
              <w:jc w:val="center"/>
              <w:rPr>
                <w:rFonts w:ascii="宋体" w:hAnsi="宋体" w:eastAsia="宋体" w:cs="宋体"/>
                <w:color w:val="auto"/>
                <w:kern w:val="0"/>
                <w:szCs w:val="21"/>
              </w:rPr>
            </w:pPr>
          </w:p>
        </w:tc>
        <w:tc>
          <w:tcPr>
            <w:tcW w:w="7796" w:type="dxa"/>
            <w:gridSpan w:val="3"/>
            <w:tcBorders>
              <w:top w:val="single" w:color="auto" w:sz="4" w:space="0"/>
              <w:left w:val="single" w:color="auto" w:sz="6" w:space="0"/>
              <w:bottom w:val="single" w:color="auto" w:sz="6" w:space="0"/>
              <w:right w:val="single" w:color="auto" w:sz="6" w:space="0"/>
            </w:tcBorders>
            <w:noWrap w:val="0"/>
            <w:vAlign w:val="center"/>
          </w:tcPr>
          <w:p>
            <w:pPr>
              <w:spacing w:line="312" w:lineRule="auto"/>
              <w:ind w:firstLine="420" w:firstLineChars="200"/>
              <w:jc w:val="left"/>
              <w:rPr>
                <w:rFonts w:ascii="宋体" w:hAnsi="Calibri" w:eastAsia="宋体" w:cs="Times New Roman"/>
                <w:color w:val="auto"/>
                <w:szCs w:val="21"/>
              </w:rPr>
            </w:pPr>
          </w:p>
        </w:tc>
      </w:tr>
    </w:tbl>
    <w:p>
      <w:pPr>
        <w:pStyle w:val="5"/>
        <w:spacing w:line="360" w:lineRule="auto"/>
        <w:ind w:left="0" w:leftChars="0"/>
        <w:rPr>
          <w:rFonts w:ascii="Calibri" w:hAnsi="Calibri" w:eastAsia="宋体" w:cs="Times New Roman"/>
          <w:color w:val="auto"/>
          <w:sz w:val="24"/>
        </w:rPr>
      </w:pPr>
      <w:r>
        <w:rPr>
          <w:rFonts w:hint="eastAsia" w:ascii="Calibri" w:hAnsi="Calibri" w:eastAsia="宋体" w:cs="Times New Roman"/>
          <w:color w:val="auto"/>
          <w:sz w:val="24"/>
        </w:rPr>
        <w:t>评课人：</w:t>
      </w:r>
    </w:p>
    <w:p>
      <w:pPr>
        <w:pStyle w:val="5"/>
        <w:spacing w:line="360" w:lineRule="auto"/>
        <w:ind w:firstLine="480" w:firstLineChars="200"/>
        <w:rPr>
          <w:rFonts w:ascii="Calibri" w:hAnsi="Calibri" w:eastAsia="宋体" w:cs="Times New Roman"/>
          <w:color w:val="auto"/>
          <w:sz w:val="24"/>
        </w:rPr>
      </w:pPr>
    </w:p>
    <w:p>
      <w:pPr>
        <w:pStyle w:val="12"/>
        <w:rPr>
          <w:rFonts w:eastAsia="宋体" w:cs="Times New Roman"/>
          <w:color w:val="auto"/>
        </w:rPr>
      </w:pPr>
      <w:r>
        <w:rPr>
          <w:rFonts w:ascii="宋体" w:eastAsia="宋体" w:cs="Times New Roman"/>
          <w:color w:val="auto"/>
          <w:sz w:val="24"/>
          <w:szCs w:val="24"/>
        </w:rPr>
        <w:br w:type="page"/>
      </w:r>
      <w:bookmarkStart w:id="15" w:name="_Toc23714"/>
      <w:r>
        <w:rPr>
          <w:rStyle w:val="36"/>
          <w:rFonts w:hint="eastAsia"/>
          <w:b/>
          <w:color w:val="auto"/>
        </w:rPr>
        <w:t>教学检查制度</w:t>
      </w:r>
      <w:bookmarkEnd w:id="15"/>
    </w:p>
    <w:p>
      <w:pPr>
        <w:spacing w:line="360" w:lineRule="auto"/>
        <w:ind w:firstLine="420"/>
        <w:rPr>
          <w:rFonts w:ascii="宋体" w:hAnsi="宋体" w:eastAsia="宋体" w:cs="Times New Roman"/>
          <w:color w:val="auto"/>
          <w:sz w:val="24"/>
          <w:szCs w:val="24"/>
        </w:rPr>
      </w:pP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教学工作是学院的中心工作，是实现学院培养目标的主要手段。教学检查则是维护正常教学秩序，确保教学工作按教学计划有序运行的重要方式。为了不断加强和改进教学管理，逐步完善教学质量监控体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 xml:space="preserve">，特制定本制度。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一、 教学检查原则教学检查应遵循以下原则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（一）重点与一般检查相结合原则。教学检查要按每学期学院教学工作要点中提出的要求，拟出教学检查的重点，然后再与一般日常检查结合起来，以提高教学检查效果。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（二）经常性检查和集中检查相结合原则。在拟订与执行</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 xml:space="preserve">、教研室工作计划时，要把工作的安排落实与检查的安排落实较好地结合起来。要把期始、期中、期末的集中检查和日常检查结合起来。对检查结果要加以综合分析、研究，提出整改措施并加以落实，使教学检查起到改善和促进教学工作的作用。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二、 教学检查实施办法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（一）日常教学检查各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、教学督导组负责日常教学检查，内容包括：调代课、课堂考勤、教学日志填写，课堂各教学环节等的执行情况，并作好记录，发现问题及时反馈、处理。各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、教研室负责本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 xml:space="preserve">、教研室的日常教学检查，检查教学进度、教案、作业批改、教研活动、听课等教学工作情况，做好记录，针对发现的问题及时提出改进措施并予以落实。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（二）期始教学检查  </w:t>
      </w:r>
    </w:p>
    <w:p>
      <w:pPr>
        <w:widowControl w:val="0"/>
        <w:numPr>
          <w:ilvl w:val="1"/>
          <w:numId w:val="6"/>
        </w:numPr>
        <w:spacing w:line="360" w:lineRule="auto"/>
        <w:ind w:left="1260" w:hanging="42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检查时间：每学期开学后第1周。 </w:t>
      </w:r>
    </w:p>
    <w:p>
      <w:pPr>
        <w:widowControl w:val="0"/>
        <w:numPr>
          <w:ilvl w:val="1"/>
          <w:numId w:val="6"/>
        </w:numPr>
        <w:spacing w:line="360" w:lineRule="auto"/>
        <w:ind w:left="1260" w:hanging="42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内容：主要检查上课前的各项准备工作（教室、教材、课程表、教学用品、实践课各项准备工作等）、新教师岗前培训情况以及教师的教案（讲稿、课件）准备、教学进度表的填写、学期教学计划和教研计划安排情况，并做好记录。  </w:t>
      </w:r>
    </w:p>
    <w:p>
      <w:pPr>
        <w:widowControl w:val="0"/>
        <w:numPr>
          <w:ilvl w:val="1"/>
          <w:numId w:val="6"/>
        </w:numPr>
        <w:spacing w:line="360" w:lineRule="auto"/>
        <w:ind w:left="1260" w:hanging="42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检查方式：各二级学院组织自查，并于自查结束后3天内向教务部报自查结果与整改措施。教学督导组、教务部对各二级学院检查情况进行抽查，发布检查结果，对发现的问题督促相关（部）及时采取改进措施。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（三）期中教学检查  </w:t>
      </w:r>
    </w:p>
    <w:p>
      <w:pPr>
        <w:widowControl w:val="0"/>
        <w:numPr>
          <w:ilvl w:val="1"/>
          <w:numId w:val="7"/>
        </w:numPr>
        <w:spacing w:line="360" w:lineRule="auto"/>
        <w:ind w:left="1260" w:hanging="42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检查时间：每学期第10—11周。  </w:t>
      </w:r>
    </w:p>
    <w:p>
      <w:pPr>
        <w:widowControl w:val="0"/>
        <w:numPr>
          <w:ilvl w:val="1"/>
          <w:numId w:val="7"/>
        </w:numPr>
        <w:spacing w:line="360" w:lineRule="auto"/>
        <w:ind w:left="1260" w:hanging="42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内容：期中检查是对教学过程各方面各环节进行的一次较为全面的检查，主要包括：教学进度把握情况；教师调、停课审批情况：教学秩序情况；作业布置及批改情况；教案、讲稿准备和积累情况；教学日志填写情况；教学方法和手段的运用情况；教研活动的组织与参与情况。二级学院召开本二级学院专业学生座谈会，收集教学反馈意见。实践教学工作还应检查设备购置使用、设备管理、实验工作情况等。  </w:t>
      </w:r>
    </w:p>
    <w:p>
      <w:pPr>
        <w:widowControl w:val="0"/>
        <w:numPr>
          <w:ilvl w:val="1"/>
          <w:numId w:val="7"/>
        </w:numPr>
        <w:spacing w:line="360" w:lineRule="auto"/>
        <w:ind w:left="1260" w:hanging="42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方式：以二级学院为检查单位，成立由二级学院主任、教研室主任组成的期中教学检查小组。检查小组通过听课、召开座谈会和查询原始资料等形式进行检查（检查表格由教务部统一提供）。各二级学院要将检查的实施情况、检查结果及改进措施以书面形式进行检查（检查表格由教务部统一提供）。各二级学院要将检查的实施情况、检查结果及改进措施以书面形式报教务部（检查结束后一周内）。教学督导组、教务部要会同有关系届时进行抽查，及时汇总检查结果，并以教学工作简报的形式将检查结果反馈到各二级学院。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（四）期末教学检查  </w:t>
      </w:r>
    </w:p>
    <w:p>
      <w:pPr>
        <w:widowControl w:val="0"/>
        <w:numPr>
          <w:ilvl w:val="2"/>
          <w:numId w:val="8"/>
        </w:numPr>
        <w:spacing w:line="360" w:lineRule="auto"/>
        <w:ind w:left="1620" w:hanging="36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检查时间：学期课程结束前一周至放假，具体时间由各二级学院安排。 </w:t>
      </w:r>
    </w:p>
    <w:p>
      <w:pPr>
        <w:widowControl w:val="0"/>
        <w:numPr>
          <w:ilvl w:val="2"/>
          <w:numId w:val="8"/>
        </w:numPr>
        <w:spacing w:line="360" w:lineRule="auto"/>
        <w:ind w:left="1620" w:hanging="36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内容：主要检查学期教学计划执行情况、期末考试各个环节、下学期教学计划谋划、开学准备等工作。各二级学院、教研室通过分析一学期教学工作的成绩和不足写出学期教学检查报告与整改措施，汇总报教务部、教学督导组和分管院长。  </w:t>
      </w:r>
    </w:p>
    <w:p>
      <w:pPr>
        <w:widowControl w:val="0"/>
        <w:numPr>
          <w:ilvl w:val="2"/>
          <w:numId w:val="8"/>
        </w:numPr>
        <w:spacing w:line="360" w:lineRule="auto"/>
        <w:ind w:left="1620" w:hanging="360"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检查方式：各二级学院组织自查，并向教务部报道教学检查自查报告和整改措施。教学督导组、教务部对各二级学院检查情况进行抽查，发布检查结果。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（五） 开展检查性听课活动：院、</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 xml:space="preserve">两级领导、教学督导组、教学管理人员的检查性听课以及教师之间的相互听课也是教学检查的重要组成部分，对教师规范教学工作、提高教学质量具有重要意义，根据听课制度的要求，抓好落实。  </w:t>
      </w:r>
    </w:p>
    <w:p>
      <w:pPr>
        <w:spacing w:line="360" w:lineRule="auto"/>
        <w:ind w:firstLine="420"/>
        <w:rPr>
          <w:rFonts w:ascii="宋体" w:hAnsi="宋体" w:eastAsia="宋体" w:cs="Times New Roman"/>
          <w:color w:val="auto"/>
          <w:sz w:val="24"/>
          <w:szCs w:val="24"/>
        </w:rPr>
      </w:pPr>
      <w:r>
        <w:rPr>
          <w:rFonts w:hint="eastAsia" w:ascii="宋体" w:hAnsi="宋体" w:eastAsia="宋体" w:cs="Times New Roman"/>
          <w:color w:val="auto"/>
          <w:sz w:val="24"/>
          <w:szCs w:val="24"/>
        </w:rPr>
        <w:t>（六）不定期专项教学工作检查：由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、教学督导组、负责不定期地对教学文件、教学计划执行、教学各个环节、实践教学、教研活动等情况进行专项检查并作出评价，发现问题及时采取改进措施或反馈到有关部门并督促改进。</w:t>
      </w:r>
      <w:r>
        <w:rPr>
          <w:rFonts w:ascii="宋体" w:hAnsi="宋体" w:eastAsia="宋体" w:cs="Times New Roman"/>
          <w:color w:val="auto"/>
          <w:sz w:val="24"/>
          <w:szCs w:val="24"/>
        </w:rPr>
        <w:t xml:space="preserve"> </w:t>
      </w:r>
    </w:p>
    <w:p>
      <w:pPr>
        <w:spacing w:line="360" w:lineRule="auto"/>
        <w:ind w:firstLine="420"/>
        <w:rPr>
          <w:rFonts w:ascii="宋体" w:hAnsi="宋体" w:eastAsia="宋体" w:cs="Times New Roman"/>
          <w:color w:val="auto"/>
          <w:sz w:val="24"/>
          <w:szCs w:val="24"/>
        </w:rPr>
      </w:pPr>
      <w:r>
        <w:rPr>
          <w:rFonts w:ascii="宋体" w:hAnsi="宋体" w:eastAsia="宋体" w:cs="Times New Roman"/>
          <w:color w:val="auto"/>
          <w:sz w:val="24"/>
          <w:szCs w:val="24"/>
        </w:rPr>
        <w:br w:type="page"/>
      </w:r>
    </w:p>
    <w:p>
      <w:pPr>
        <w:pStyle w:val="3"/>
        <w:bidi w:val="0"/>
        <w:jc w:val="center"/>
        <w:rPr>
          <w:color w:val="auto"/>
        </w:rPr>
      </w:pPr>
      <w:bookmarkStart w:id="16" w:name="_Toc10576"/>
      <w:r>
        <w:rPr>
          <w:rFonts w:hint="eastAsia"/>
          <w:color w:val="auto"/>
        </w:rPr>
        <w:t>集体备课管理制度</w:t>
      </w:r>
      <w:bookmarkEnd w:id="16"/>
    </w:p>
    <w:p>
      <w:pPr>
        <w:spacing w:line="520" w:lineRule="exact"/>
        <w:ind w:firstLine="480" w:firstLineChars="200"/>
        <w:rPr>
          <w:rFonts w:ascii="宋体" w:hAnsi="宋体" w:eastAsia="宋体" w:cs="宋体"/>
          <w:color w:val="auto"/>
          <w:kern w:val="0"/>
          <w:sz w:val="24"/>
        </w:rPr>
      </w:pPr>
    </w:p>
    <w:p>
      <w:pPr>
        <w:spacing w:line="52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集体备课是提高教学质量的重要保证，是提高教师素质的重要途径，是教研活动的重要内容之一，为了进一步提高集体备课的质量，特制定本制度。</w:t>
      </w:r>
    </w:p>
    <w:p>
      <w:pPr>
        <w:spacing w:line="52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一、集体备课的管理</w:t>
      </w:r>
    </w:p>
    <w:p>
      <w:pPr>
        <w:spacing w:line="52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集体备课由各</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实施管理。实行</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主任负责制。由教研组长具体主持集体备课活动；</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主任指导并参加各组的备课活动。各学科组根据学科的特点，每周或每两周集中一次。使集体备课制度化、规范化。</w:t>
      </w:r>
    </w:p>
    <w:p>
      <w:pPr>
        <w:spacing w:line="52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二、集体备课的实施程序</w:t>
      </w:r>
    </w:p>
    <w:p>
      <w:pPr>
        <w:spacing w:line="520" w:lineRule="exact"/>
        <w:ind w:firstLine="480" w:firstLineChars="20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学期初，以学科组为单位进行教学研究，深入钻研教材、标准，依据实际情况制定出切实可行的教学计划，教学目标和具体进度。安排表由各学科组集体制定，注意做到面向全体，尊重差异，并按月制定出集体备课安排表交二级学院备查。</w:t>
      </w:r>
    </w:p>
    <w:p>
      <w:pPr>
        <w:spacing w:line="520" w:lineRule="exact"/>
        <w:ind w:firstLine="480" w:firstLineChars="20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备课提纲的讨论一般要超前一周，具体按照集体备课安排表安排单元主备课人轮流进行。集体备课采取先由单元主备课人提供主要思路，再由任课教师添加、修改，最后提请学科组集体研讨，形成共识的三段式备课。</w:t>
      </w:r>
    </w:p>
    <w:p>
      <w:pPr>
        <w:spacing w:line="52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第一阶段：单元主备人根据计划提前做好电子教案，并在学科组集体研究前发到每位教师手中。</w:t>
      </w:r>
    </w:p>
    <w:p>
      <w:pPr>
        <w:spacing w:line="52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第二阶段：每位教师根据自己对教材的理解和本班学生的实际情况，思考和充实每个环节，甚至修改、删减或增添某些教学环节。第三阶段：各学科组进行集体研讨。</w:t>
      </w:r>
    </w:p>
    <w:p>
      <w:pPr>
        <w:spacing w:line="520" w:lineRule="exact"/>
        <w:ind w:firstLine="480" w:firstLineChars="20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集体研讨时，由各科目牵头人主持，先由单元主备人介绍自己的备课思路，教学设计的意图，重难点突破等；再由学科组成员根据自己的修改发表意见，形成共识，最后得出既能体现本专业实际又能体现个人教学风格的高质量的统一电子教案存档。在本人上课时，个人还可以根据出现的新情况对教案进行适当的调整。教案使用后，由教师本人保存，并按时装订成册，以备学院检查。</w:t>
      </w:r>
    </w:p>
    <w:p>
      <w:pPr>
        <w:spacing w:line="520" w:lineRule="exact"/>
        <w:ind w:firstLine="480" w:firstLineChars="20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为确保备课的质量，每一位主备教师在备课时，要事先查阅各种资料，找同科教师进行研究，充分了解学生的学习情况，认真钻研，把握准教材的重难点。备课时，要考虑如何调动学生的积极性，如何体现学生的自主探究、合作及主体地位等，按照“学—导—练”三环节设计出详细的教案。教案的设计要体现“实用性、灵活性、先进性”。</w:t>
      </w:r>
    </w:p>
    <w:p>
      <w:pPr>
        <w:spacing w:line="520" w:lineRule="exact"/>
        <w:ind w:firstLine="480" w:firstLineChars="200"/>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备课组在研讨时，科目牵头人要切实加强责任心，要求任课教师积极发表意见，可针对教案的各环节，研究如何最有效的引导学生主动高效的自学，学生在学习时会遇到哪些疑难问题，如何帮助学生排疑解难，设计哪些合适的作业及理论联二级学院实际的问题情境，其中重难点的处理办法可有多种；研究与教材相关的背景资料，选用何种适当的教学技术手段等，研究出最佳教学方案。</w:t>
      </w:r>
    </w:p>
    <w:p>
      <w:pPr>
        <w:spacing w:line="520" w:lineRule="exact"/>
        <w:ind w:firstLine="480" w:firstLineChars="200"/>
        <w:rPr>
          <w:rFonts w:ascii="宋体" w:hAnsi="宋体" w:eastAsia="宋体" w:cs="宋体"/>
          <w:color w:val="auto"/>
          <w:kern w:val="0"/>
          <w:sz w:val="24"/>
        </w:rPr>
      </w:pPr>
      <w:r>
        <w:rPr>
          <w:rFonts w:hint="eastAsia" w:ascii="宋体" w:hAnsi="宋体" w:eastAsia="宋体" w:cs="宋体"/>
          <w:color w:val="auto"/>
          <w:kern w:val="0"/>
          <w:sz w:val="24"/>
        </w:rPr>
        <w:t>三、每月集体备课及教学实施过程记录表由</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 xml:space="preserve">主任及时交教科处存档。 </w:t>
      </w:r>
    </w:p>
    <w:p>
      <w:pPr>
        <w:spacing w:line="520" w:lineRule="exact"/>
        <w:ind w:firstLine="480" w:firstLineChars="200"/>
        <w:rPr>
          <w:rFonts w:ascii="Calibri" w:hAnsi="Calibri" w:eastAsia="宋体" w:cs="Times New Roman"/>
          <w:color w:val="auto"/>
          <w:sz w:val="28"/>
          <w:szCs w:val="28"/>
        </w:rPr>
      </w:pPr>
      <w:r>
        <w:rPr>
          <w:rFonts w:hint="eastAsia" w:ascii="宋体" w:hAnsi="宋体" w:eastAsia="宋体" w:cs="宋体"/>
          <w:color w:val="auto"/>
          <w:kern w:val="0"/>
          <w:sz w:val="24"/>
        </w:rPr>
        <w:t>四、各位老师个人集体备课详细记录每学期汇总、装订，备</w:t>
      </w:r>
      <w:r>
        <w:rPr>
          <w:rFonts w:hint="eastAsia" w:ascii="宋体" w:hAnsi="宋体" w:eastAsia="宋体" w:cs="宋体"/>
          <w:color w:val="auto"/>
          <w:kern w:val="0"/>
          <w:sz w:val="24"/>
          <w:lang w:eastAsia="zh-CN"/>
        </w:rPr>
        <w:t>教务部</w:t>
      </w:r>
      <w:r>
        <w:rPr>
          <w:rFonts w:hint="eastAsia" w:ascii="宋体" w:hAnsi="宋体" w:eastAsia="宋体" w:cs="宋体"/>
          <w:color w:val="auto"/>
          <w:kern w:val="0"/>
          <w:sz w:val="24"/>
        </w:rPr>
        <w:t>抽查。</w:t>
      </w:r>
      <w:r>
        <w:rPr>
          <w:rFonts w:hint="eastAsia" w:ascii="仿宋" w:hAnsi="仿宋" w:eastAsia="仿宋" w:cs="Times New Roman"/>
          <w:color w:val="auto"/>
          <w:sz w:val="30"/>
          <w:szCs w:val="30"/>
        </w:rPr>
        <w:t xml:space="preserve"> </w:t>
      </w:r>
    </w:p>
    <w:p>
      <w:pPr>
        <w:pStyle w:val="12"/>
        <w:rPr>
          <w:rFonts w:eastAsia="宋体" w:cs="Times New Roman"/>
          <w:color w:val="auto"/>
        </w:rPr>
      </w:pPr>
      <w:r>
        <w:rPr>
          <w:rFonts w:eastAsia="宋体" w:cs="Times New Roman"/>
          <w:b w:val="0"/>
          <w:bCs w:val="0"/>
          <w:color w:val="auto"/>
        </w:rPr>
        <w:br w:type="page"/>
      </w:r>
      <w:bookmarkStart w:id="17" w:name="_Toc31699"/>
      <w:r>
        <w:rPr>
          <w:rStyle w:val="36"/>
          <w:rFonts w:hint="eastAsia"/>
          <w:b/>
          <w:color w:val="auto"/>
        </w:rPr>
        <w:t>教案规范</w:t>
      </w:r>
      <w:bookmarkEnd w:id="17"/>
    </w:p>
    <w:p>
      <w:pPr>
        <w:widowControl/>
        <w:spacing w:line="360" w:lineRule="auto"/>
        <w:ind w:firstLine="482" w:firstLineChars="200"/>
        <w:jc w:val="center"/>
        <w:rPr>
          <w:rFonts w:ascii="宋体" w:hAnsi="Calibri" w:eastAsia="宋体" w:cs="Times New Roman"/>
          <w:b/>
          <w:color w:val="auto"/>
          <w:sz w:val="24"/>
          <w:szCs w:val="24"/>
        </w:rPr>
      </w:pPr>
    </w:p>
    <w:p>
      <w:pPr>
        <w:widowControl/>
        <w:spacing w:line="360" w:lineRule="auto"/>
        <w:ind w:firstLine="480" w:firstLineChars="200"/>
        <w:jc w:val="left"/>
        <w:rPr>
          <w:rFonts w:ascii="宋体" w:hAnsi="Calibri" w:eastAsia="宋体" w:cs="Times New Roman"/>
          <w:color w:val="auto"/>
          <w:sz w:val="24"/>
          <w:szCs w:val="24"/>
        </w:rPr>
      </w:pPr>
      <w:r>
        <w:rPr>
          <w:rFonts w:hint="eastAsia" w:ascii="宋体" w:hAnsi="宋体" w:eastAsia="宋体" w:cs="Times New Roman"/>
          <w:color w:val="auto"/>
          <w:sz w:val="24"/>
          <w:szCs w:val="24"/>
        </w:rPr>
        <w:t>教案是教师组织教学的必备教学文件。为进一步规范教学行为，提高教学水平和质量，确保专业人才培养目标的实现，特制定本规范和要求。</w:t>
      </w:r>
    </w:p>
    <w:p>
      <w:pPr>
        <w:widowControl/>
        <w:spacing w:line="360" w:lineRule="auto"/>
        <w:ind w:firstLine="482" w:firstLineChars="200"/>
        <w:jc w:val="left"/>
        <w:rPr>
          <w:rFonts w:ascii="宋体" w:hAnsi="Calibri" w:eastAsia="宋体" w:cs="Times New Roman"/>
          <w:b/>
          <w:color w:val="auto"/>
          <w:sz w:val="24"/>
          <w:szCs w:val="24"/>
        </w:rPr>
      </w:pPr>
      <w:r>
        <w:rPr>
          <w:rFonts w:hint="eastAsia" w:ascii="宋体" w:hAnsi="宋体" w:eastAsia="宋体" w:cs="Times New Roman"/>
          <w:b/>
          <w:color w:val="auto"/>
          <w:sz w:val="24"/>
          <w:szCs w:val="24"/>
        </w:rPr>
        <w:t>一、教案编写</w:t>
      </w:r>
    </w:p>
    <w:p>
      <w:pPr>
        <w:widowControl/>
        <w:numPr>
          <w:ilvl w:val="6"/>
          <w:numId w:val="9"/>
        </w:numPr>
        <w:tabs>
          <w:tab w:val="left" w:pos="993"/>
        </w:tabs>
        <w:spacing w:line="360" w:lineRule="auto"/>
        <w:ind w:left="0" w:firstLine="448" w:firstLineChars="0"/>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教案是教师为每一知识点（群）的教学实施而制定的以课时为单位的教学实施方案。</w:t>
      </w:r>
    </w:p>
    <w:p>
      <w:pPr>
        <w:widowControl/>
        <w:numPr>
          <w:ilvl w:val="6"/>
          <w:numId w:val="9"/>
        </w:numPr>
        <w:tabs>
          <w:tab w:val="left" w:pos="993"/>
        </w:tabs>
        <w:spacing w:line="360" w:lineRule="auto"/>
        <w:ind w:left="0" w:firstLine="448" w:firstLineChars="0"/>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编写教案要根据教学内容和教案构成要素制定详细的授课内容和教学实施步骤，并就所采用的教学方法和教学手段进行必要说明。</w:t>
      </w:r>
    </w:p>
    <w:p>
      <w:pPr>
        <w:widowControl/>
        <w:numPr>
          <w:ilvl w:val="6"/>
          <w:numId w:val="9"/>
        </w:numPr>
        <w:tabs>
          <w:tab w:val="left" w:pos="993"/>
        </w:tabs>
        <w:spacing w:line="360" w:lineRule="auto"/>
        <w:ind w:left="0" w:firstLine="448" w:firstLineChars="0"/>
        <w:jc w:val="left"/>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编写教案要处理好应该教什么和学什么（目标），如何教和如何学（策略）。</w:t>
      </w:r>
      <w:r>
        <w:rPr>
          <w:rFonts w:ascii="宋体" w:hAnsi="宋体" w:eastAsia="宋体" w:cs="Times New Roman"/>
          <w:color w:val="auto"/>
          <w:kern w:val="2"/>
          <w:sz w:val="24"/>
          <w:szCs w:val="24"/>
          <w:lang w:val="en-US" w:eastAsia="zh-CN" w:bidi="ar-SA"/>
        </w:rPr>
        <w:t xml:space="preserve">   </w:t>
      </w:r>
    </w:p>
    <w:p>
      <w:pPr>
        <w:widowControl/>
        <w:numPr>
          <w:ilvl w:val="6"/>
          <w:numId w:val="9"/>
        </w:numPr>
        <w:tabs>
          <w:tab w:val="left" w:pos="993"/>
        </w:tabs>
        <w:spacing w:line="360" w:lineRule="auto"/>
        <w:ind w:left="0" w:firstLine="448" w:firstLineChars="0"/>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编写教案要钻研 课程标准和教材（实践课还应钻研实验或实训指导书），弄清本课程的教学目的，各章节（或各实践单元、项目或课题等）的具体内容、要求、重点和难点，以及形成能力的基本要求。同时要注意广泛阅读本门课程相关资料，了解本专业技术领域的发展方向，对课程有关内容进行必要的补充。要了解学生已有的知识结构、理解能力，对课程教学内容进行合理的安排和设计。</w:t>
      </w:r>
    </w:p>
    <w:p>
      <w:pPr>
        <w:widowControl/>
        <w:spacing w:line="360" w:lineRule="auto"/>
        <w:ind w:firstLine="482" w:firstLineChars="200"/>
        <w:jc w:val="left"/>
        <w:rPr>
          <w:rFonts w:ascii="宋体" w:hAnsi="Calibri" w:eastAsia="宋体" w:cs="Times New Roman"/>
          <w:b/>
          <w:color w:val="auto"/>
          <w:sz w:val="24"/>
          <w:szCs w:val="24"/>
        </w:rPr>
      </w:pPr>
      <w:r>
        <w:rPr>
          <w:rFonts w:hint="eastAsia" w:ascii="宋体" w:hAnsi="宋体" w:eastAsia="宋体" w:cs="Times New Roman"/>
          <w:b/>
          <w:color w:val="auto"/>
          <w:sz w:val="24"/>
          <w:szCs w:val="24"/>
        </w:rPr>
        <w:t>二、教案内容及说明</w:t>
      </w:r>
    </w:p>
    <w:p>
      <w:pPr>
        <w:widowControl/>
        <w:spacing w:line="360" w:lineRule="auto"/>
        <w:ind w:firstLine="460" w:firstLineChars="192"/>
        <w:jc w:val="left"/>
        <w:rPr>
          <w:rFonts w:ascii="宋体" w:hAnsi="Calibri" w:eastAsia="宋体" w:cs="Times New Roman"/>
          <w:color w:val="auto"/>
          <w:sz w:val="24"/>
          <w:szCs w:val="24"/>
        </w:rPr>
      </w:pPr>
      <w:r>
        <w:rPr>
          <w:rFonts w:hint="eastAsia" w:ascii="宋体" w:hAnsi="宋体" w:eastAsia="宋体" w:cs="Times New Roman"/>
          <w:color w:val="auto"/>
          <w:sz w:val="24"/>
          <w:szCs w:val="24"/>
        </w:rPr>
        <w:t>（一）基本内容及说明</w:t>
      </w:r>
    </w:p>
    <w:p>
      <w:pPr>
        <w:widowControl/>
        <w:numPr>
          <w:ilvl w:val="1"/>
          <w:numId w:val="10"/>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授课题目：指理论课的一个教学内容（单元）、一次课（一般</w:t>
      </w:r>
      <w:r>
        <w:rPr>
          <w:rFonts w:ascii="宋体" w:hAnsi="宋体" w:eastAsia="宋体" w:cs="Times New Roman"/>
          <w:color w:val="auto"/>
          <w:kern w:val="2"/>
          <w:sz w:val="24"/>
          <w:szCs w:val="24"/>
          <w:lang w:val="en-US" w:eastAsia="zh-CN" w:bidi="ar-SA"/>
        </w:rPr>
        <w:t>2</w:t>
      </w:r>
      <w:r>
        <w:rPr>
          <w:rFonts w:hint="eastAsia" w:ascii="宋体" w:hAnsi="宋体" w:eastAsia="宋体" w:cs="Times New Roman"/>
          <w:color w:val="auto"/>
          <w:kern w:val="2"/>
          <w:sz w:val="24"/>
          <w:szCs w:val="24"/>
          <w:lang w:val="en-US" w:eastAsia="zh-CN" w:bidi="ar-SA"/>
        </w:rPr>
        <w:t>学时）的章、节题目，或实践教学单元、任务、项目、课题等名称。如果实践项目是由若干子项目组成，则要求按各子项目命题并按子项目为单位进行教案的编写。</w:t>
      </w:r>
    </w:p>
    <w:p>
      <w:pPr>
        <w:widowControl/>
        <w:numPr>
          <w:ilvl w:val="1"/>
          <w:numId w:val="10"/>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教学时数：指完成一个授课题目所用教学时间。理论课通常以学时数为单位，而实践课可以学时数，天数或周数为单位。</w:t>
      </w:r>
    </w:p>
    <w:p>
      <w:pPr>
        <w:widowControl/>
        <w:numPr>
          <w:ilvl w:val="1"/>
          <w:numId w:val="10"/>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教学目的、要求：也称教学目标，指教学中要体现“课程的总体目标”和“章、节或实践教学单元的目标”、预期达到的效果等。</w:t>
      </w:r>
    </w:p>
    <w:p>
      <w:pPr>
        <w:widowControl/>
        <w:numPr>
          <w:ilvl w:val="1"/>
          <w:numId w:val="10"/>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教学重点和难点：指该章、节的重点和难点部分，学生必须掌握的知识点和技能。实践教学还包括实践操作训练的主要指导要点；关键环节、关键技术指导方法等。</w:t>
      </w:r>
    </w:p>
    <w:p>
      <w:pPr>
        <w:widowControl/>
        <w:numPr>
          <w:ilvl w:val="1"/>
          <w:numId w:val="10"/>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授课类型及教学资源：是根据教学目的进行教学方式（讲授、演示、实验、实作、讨论、案例分析、等）、教学辅助手段（教具、模型、图表、实物、现代教学设施设备等）、师生互动、板书等的设计。要能有效地调动学生的学习积极性，促进学生的积极思考，激发学生的潜能。</w:t>
      </w:r>
    </w:p>
    <w:p>
      <w:pPr>
        <w:widowControl/>
        <w:numPr>
          <w:ilvl w:val="1"/>
          <w:numId w:val="10"/>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教学内容及过程：是指通过对 课程标准、教材和主要参考资料的研析，确定本教学单元的课程教学知识信息的总和。实践课还应注重其对实践环节的指导性，必要时应包含实践步骤及其说明。具体应包括：教学引入；教学内容与教学设计；作业布置。</w:t>
      </w:r>
    </w:p>
    <w:p>
      <w:pPr>
        <w:widowControl/>
        <w:numPr>
          <w:ilvl w:val="1"/>
          <w:numId w:val="10"/>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课后小结：课后小结主要是教师完成本教学单元教学后对教学设计、教学重难点把握、教学方法应用、教学效果等课堂教学过程情况的总结与分析，为以后教学提供经验和素材。</w:t>
      </w:r>
    </w:p>
    <w:p>
      <w:pPr>
        <w:widowControl/>
        <w:spacing w:line="360" w:lineRule="auto"/>
        <w:ind w:firstLine="460" w:firstLineChars="192"/>
        <w:jc w:val="left"/>
        <w:rPr>
          <w:rFonts w:ascii="宋体" w:hAnsi="Calibri" w:eastAsia="宋体" w:cs="Times New Roman"/>
          <w:color w:val="auto"/>
          <w:sz w:val="24"/>
          <w:szCs w:val="24"/>
        </w:rPr>
      </w:pPr>
      <w:r>
        <w:rPr>
          <w:rFonts w:hint="eastAsia" w:ascii="宋体" w:hAnsi="宋体" w:eastAsia="宋体" w:cs="Times New Roman"/>
          <w:color w:val="auto"/>
          <w:sz w:val="24"/>
          <w:szCs w:val="24"/>
        </w:rPr>
        <w:t>（二）特别内容及说明（主要适用于实验实训课、艺术课、体育课等特殊课程）</w:t>
      </w:r>
    </w:p>
    <w:p>
      <w:pPr>
        <w:widowControl/>
        <w:numPr>
          <w:ilvl w:val="1"/>
          <w:numId w:val="11"/>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教学分组：指导教师及学生分组情况说明。</w:t>
      </w:r>
    </w:p>
    <w:p>
      <w:pPr>
        <w:widowControl/>
        <w:numPr>
          <w:ilvl w:val="1"/>
          <w:numId w:val="11"/>
        </w:numPr>
        <w:spacing w:line="360" w:lineRule="auto"/>
        <w:ind w:left="0" w:firstLine="460" w:firstLineChars="192"/>
        <w:jc w:val="left"/>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安全事项：教学实践过程中的人身、设备、仪器及产品等安全；操作安全规范说明；或安全隐患防范措施等。</w:t>
      </w:r>
    </w:p>
    <w:p>
      <w:pPr>
        <w:widowControl/>
        <w:jc w:val="left"/>
        <w:rPr>
          <w:rFonts w:ascii="宋体" w:hAnsi="宋体" w:eastAsia="宋体" w:cs="Times New Roman"/>
          <w:color w:val="auto"/>
          <w:sz w:val="24"/>
          <w:szCs w:val="24"/>
        </w:rPr>
      </w:pPr>
      <w:r>
        <w:rPr>
          <w:rFonts w:ascii="宋体" w:hAnsi="宋体" w:eastAsia="宋体" w:cs="Times New Roman"/>
          <w:color w:val="auto"/>
          <w:sz w:val="24"/>
          <w:szCs w:val="24"/>
        </w:rPr>
        <w:br w:type="page"/>
      </w:r>
    </w:p>
    <w:p>
      <w:pPr>
        <w:pStyle w:val="3"/>
        <w:bidi w:val="0"/>
        <w:jc w:val="center"/>
        <w:rPr>
          <w:color w:val="auto"/>
        </w:rPr>
      </w:pPr>
      <w:bookmarkStart w:id="18" w:name="_Toc27478"/>
      <w:r>
        <w:rPr>
          <w:rFonts w:hint="eastAsia"/>
          <w:color w:val="auto"/>
        </w:rPr>
        <w:t>调课、停课、变更教师审批制度</w:t>
      </w:r>
      <w:bookmarkEnd w:id="18"/>
    </w:p>
    <w:p>
      <w:pPr>
        <w:spacing w:line="360" w:lineRule="auto"/>
        <w:ind w:firstLine="420" w:firstLineChars="200"/>
        <w:rPr>
          <w:rFonts w:ascii="Calibri" w:hAnsi="Calibri" w:eastAsia="宋体" w:cs="Times New Roman"/>
          <w:color w:val="auto"/>
        </w:rPr>
      </w:pPr>
    </w:p>
    <w:p>
      <w:pPr>
        <w:shd w:val="solid" w:color="FFFFFF" w:fill="auto"/>
        <w:autoSpaceDN w:val="0"/>
        <w:spacing w:line="360" w:lineRule="auto"/>
        <w:ind w:firstLine="480" w:firstLineChars="200"/>
        <w:rPr>
          <w:rFonts w:ascii="宋体" w:hAnsi="Calibri" w:eastAsia="宋体" w:cs="Times New Roman"/>
          <w:color w:val="auto"/>
          <w:sz w:val="24"/>
          <w:szCs w:val="24"/>
          <w:shd w:val="clear" w:color="auto" w:fill="FFFFFF"/>
        </w:rPr>
      </w:pPr>
      <w:r>
        <w:rPr>
          <w:rFonts w:hint="eastAsia" w:ascii="宋体" w:hAnsi="宋体" w:eastAsia="宋体" w:cs="Times New Roman"/>
          <w:color w:val="auto"/>
          <w:sz w:val="24"/>
          <w:szCs w:val="24"/>
          <w:shd w:val="clear" w:color="auto" w:fill="FFFFFF"/>
        </w:rPr>
        <w:t>为了进一步加强教学管理，稳定教学秩序，规范教师调课程序，结合我院实际，特制定本制度。</w:t>
      </w:r>
    </w:p>
    <w:p>
      <w:pPr>
        <w:widowControl w:val="0"/>
        <w:numPr>
          <w:ilvl w:val="1"/>
          <w:numId w:val="12"/>
        </w:numPr>
        <w:shd w:val="solid" w:color="FFFFFF" w:fill="auto"/>
        <w:tabs>
          <w:tab w:val="left" w:pos="1134"/>
        </w:tabs>
        <w:autoSpaceDN w:val="0"/>
        <w:spacing w:line="360" w:lineRule="auto"/>
        <w:ind w:left="0" w:firstLine="480" w:firstLineChars="200"/>
        <w:jc w:val="both"/>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教师应认真按照课程表规定的时间上课。</w:t>
      </w:r>
    </w:p>
    <w:p>
      <w:pPr>
        <w:shd w:val="solid" w:color="FFFFFF" w:fill="auto"/>
        <w:tabs>
          <w:tab w:val="left" w:pos="1134"/>
        </w:tabs>
        <w:autoSpaceDN w:val="0"/>
        <w:spacing w:line="360" w:lineRule="auto"/>
        <w:ind w:firstLine="480" w:firstLineChars="200"/>
        <w:rPr>
          <w:rFonts w:ascii="宋体" w:hAnsi="Calibri" w:eastAsia="宋体" w:cs="Times New Roman"/>
          <w:color w:val="auto"/>
          <w:sz w:val="24"/>
          <w:szCs w:val="24"/>
          <w:shd w:val="clear" w:color="auto" w:fill="FFFFFF"/>
        </w:rPr>
      </w:pPr>
      <w:r>
        <w:rPr>
          <w:rFonts w:hint="eastAsia" w:ascii="宋体" w:hAnsi="宋体" w:eastAsia="宋体" w:cs="Times New Roman"/>
          <w:color w:val="auto"/>
          <w:sz w:val="24"/>
          <w:szCs w:val="24"/>
          <w:shd w:val="clear" w:color="auto" w:fill="FFFFFF"/>
        </w:rPr>
        <w:t>每学期课程表一经排定，没有因公等特别原因，一般不得变更。</w:t>
      </w:r>
    </w:p>
    <w:p>
      <w:pPr>
        <w:shd w:val="solid" w:color="FFFFFF" w:fill="auto"/>
        <w:tabs>
          <w:tab w:val="left" w:pos="1134"/>
        </w:tabs>
        <w:autoSpaceDN w:val="0"/>
        <w:spacing w:line="360" w:lineRule="auto"/>
        <w:ind w:firstLine="480" w:firstLineChars="200"/>
        <w:rPr>
          <w:rFonts w:ascii="宋体" w:hAnsi="Calibri" w:eastAsia="宋体" w:cs="Times New Roman"/>
          <w:b/>
          <w:color w:val="auto"/>
          <w:sz w:val="24"/>
          <w:szCs w:val="24"/>
          <w:shd w:val="clear" w:color="auto" w:fill="FFFFFF"/>
        </w:rPr>
      </w:pPr>
      <w:r>
        <w:rPr>
          <w:rFonts w:hint="eastAsia" w:ascii="宋体" w:hAnsi="宋体" w:eastAsia="宋体" w:cs="Times New Roman"/>
          <w:color w:val="auto"/>
          <w:sz w:val="24"/>
          <w:szCs w:val="24"/>
          <w:shd w:val="clear" w:color="auto" w:fill="FFFFFF"/>
        </w:rPr>
        <w:t>二、</w:t>
      </w:r>
      <w:r>
        <w:rPr>
          <w:rFonts w:ascii="宋体" w:hAnsi="宋体" w:eastAsia="宋体" w:cs="Times New Roman"/>
          <w:color w:val="auto"/>
          <w:sz w:val="24"/>
          <w:szCs w:val="24"/>
          <w:shd w:val="clear" w:color="auto" w:fill="FFFFFF"/>
        </w:rPr>
        <w:t xml:space="preserve"> </w:t>
      </w:r>
      <w:r>
        <w:rPr>
          <w:rFonts w:hint="eastAsia" w:ascii="宋体" w:hAnsi="宋体" w:eastAsia="宋体" w:cs="Times New Roman"/>
          <w:color w:val="auto"/>
          <w:sz w:val="24"/>
          <w:szCs w:val="24"/>
          <w:shd w:val="clear" w:color="auto" w:fill="FFFFFF"/>
        </w:rPr>
        <w:t>教师个人、教师与教师之间不得私自调、停课，符合下列特殊情况方可申请调课</w:t>
      </w:r>
      <w:r>
        <w:rPr>
          <w:rFonts w:hint="eastAsia" w:ascii="宋体" w:hAnsi="宋体" w:eastAsia="宋体" w:cs="Times New Roman"/>
          <w:b/>
          <w:color w:val="auto"/>
          <w:sz w:val="24"/>
          <w:szCs w:val="24"/>
          <w:shd w:val="clear" w:color="auto" w:fill="FFFFFF"/>
        </w:rPr>
        <w:t>：</w:t>
      </w:r>
    </w:p>
    <w:p>
      <w:pPr>
        <w:widowControl w:val="0"/>
        <w:numPr>
          <w:ilvl w:val="0"/>
          <w:numId w:val="13"/>
        </w:numPr>
        <w:shd w:val="solid" w:color="FFFFFF" w:fill="auto"/>
        <w:tabs>
          <w:tab w:val="left" w:pos="1134"/>
        </w:tabs>
        <w:autoSpaceDN w:val="0"/>
        <w:spacing w:line="360" w:lineRule="auto"/>
        <w:ind w:left="0" w:firstLine="480" w:firstLineChars="200"/>
        <w:jc w:val="both"/>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因公出差；</w:t>
      </w:r>
    </w:p>
    <w:p>
      <w:pPr>
        <w:widowControl w:val="0"/>
        <w:numPr>
          <w:ilvl w:val="0"/>
          <w:numId w:val="13"/>
        </w:numPr>
        <w:shd w:val="solid" w:color="FFFFFF" w:fill="auto"/>
        <w:tabs>
          <w:tab w:val="left" w:pos="1134"/>
        </w:tabs>
        <w:autoSpaceDN w:val="0"/>
        <w:spacing w:line="360" w:lineRule="auto"/>
        <w:ind w:left="0" w:firstLine="480" w:firstLineChars="200"/>
        <w:jc w:val="both"/>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因病确实不能坚持上课者；</w:t>
      </w:r>
    </w:p>
    <w:p>
      <w:pPr>
        <w:widowControl w:val="0"/>
        <w:numPr>
          <w:ilvl w:val="0"/>
          <w:numId w:val="13"/>
        </w:numPr>
        <w:shd w:val="solid" w:color="FFFFFF" w:fill="auto"/>
        <w:tabs>
          <w:tab w:val="left" w:pos="1134"/>
        </w:tabs>
        <w:autoSpaceDN w:val="0"/>
        <w:spacing w:line="360" w:lineRule="auto"/>
        <w:ind w:left="0" w:firstLine="480" w:firstLineChars="200"/>
        <w:jc w:val="both"/>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因本人或直二级学院亲属重大事件确需本人处理者；</w:t>
      </w:r>
    </w:p>
    <w:p>
      <w:pPr>
        <w:widowControl w:val="0"/>
        <w:numPr>
          <w:ilvl w:val="0"/>
          <w:numId w:val="13"/>
        </w:numPr>
        <w:shd w:val="solid" w:color="FFFFFF" w:fill="auto"/>
        <w:tabs>
          <w:tab w:val="left" w:pos="1134"/>
        </w:tabs>
        <w:autoSpaceDN w:val="0"/>
        <w:spacing w:line="360" w:lineRule="auto"/>
        <w:ind w:left="0" w:firstLine="480" w:firstLineChars="200"/>
        <w:jc w:val="both"/>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学院的重大活动需调课的。</w:t>
      </w:r>
    </w:p>
    <w:p>
      <w:pPr>
        <w:shd w:val="solid" w:color="FFFFFF" w:fill="auto"/>
        <w:tabs>
          <w:tab w:val="left" w:pos="1134"/>
        </w:tabs>
        <w:autoSpaceDN w:val="0"/>
        <w:spacing w:line="360" w:lineRule="auto"/>
        <w:ind w:firstLine="480" w:firstLineChars="200"/>
        <w:rPr>
          <w:rFonts w:ascii="宋体" w:hAnsi="Calibri" w:eastAsia="宋体" w:cs="Times New Roman"/>
          <w:color w:val="auto"/>
          <w:sz w:val="24"/>
          <w:szCs w:val="24"/>
          <w:shd w:val="clear" w:color="auto" w:fill="FFFFFF"/>
        </w:rPr>
      </w:pPr>
      <w:r>
        <w:rPr>
          <w:rFonts w:hint="eastAsia" w:ascii="宋体" w:hAnsi="宋体" w:eastAsia="宋体" w:cs="Times New Roman"/>
          <w:color w:val="auto"/>
          <w:sz w:val="24"/>
          <w:szCs w:val="24"/>
          <w:shd w:val="clear" w:color="auto" w:fill="FFFFFF"/>
        </w:rPr>
        <w:t>三、教师申请调课程序</w:t>
      </w:r>
    </w:p>
    <w:p>
      <w:pPr>
        <w:widowControl w:val="0"/>
        <w:numPr>
          <w:ilvl w:val="3"/>
          <w:numId w:val="14"/>
        </w:numPr>
        <w:shd w:val="solid" w:color="FFFFFF" w:fill="auto"/>
        <w:tabs>
          <w:tab w:val="left" w:pos="1134"/>
        </w:tabs>
        <w:autoSpaceDN w:val="0"/>
        <w:spacing w:line="360" w:lineRule="auto"/>
        <w:ind w:left="0" w:firstLine="480" w:firstLineChars="200"/>
        <w:jc w:val="left"/>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教师本人在教务管理二级学院统认真填写相关内容：任课教师、教研室、二级学院、调课课程及班级、调课时间、课程安排、调课原因、原上课时间及拟调整时间。</w:t>
      </w:r>
    </w:p>
    <w:p>
      <w:pPr>
        <w:widowControl w:val="0"/>
        <w:numPr>
          <w:ilvl w:val="3"/>
          <w:numId w:val="14"/>
        </w:numPr>
        <w:shd w:val="solid" w:color="FFFFFF" w:fill="auto"/>
        <w:tabs>
          <w:tab w:val="left" w:pos="1134"/>
        </w:tabs>
        <w:autoSpaceDN w:val="0"/>
        <w:spacing w:line="360" w:lineRule="auto"/>
        <w:ind w:left="0" w:firstLine="480" w:firstLineChars="200"/>
        <w:jc w:val="left"/>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教师本人打印调课通知单一式三份交所在二级学院，由教研室主任、二级学院负责人签字。</w:t>
      </w:r>
    </w:p>
    <w:p>
      <w:pPr>
        <w:widowControl w:val="0"/>
        <w:numPr>
          <w:ilvl w:val="3"/>
          <w:numId w:val="14"/>
        </w:numPr>
        <w:shd w:val="solid" w:color="FFFFFF" w:fill="auto"/>
        <w:tabs>
          <w:tab w:val="left" w:pos="1134"/>
        </w:tabs>
        <w:autoSpaceDN w:val="0"/>
        <w:spacing w:line="360" w:lineRule="auto"/>
        <w:ind w:left="0" w:firstLine="480" w:firstLineChars="200"/>
        <w:jc w:val="left"/>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教师本人将调课通知单交教务部，经分管处长审批签字备查。</w:t>
      </w:r>
    </w:p>
    <w:p>
      <w:pPr>
        <w:widowControl w:val="0"/>
        <w:numPr>
          <w:ilvl w:val="3"/>
          <w:numId w:val="14"/>
        </w:numPr>
        <w:shd w:val="solid" w:color="FFFFFF" w:fill="auto"/>
        <w:tabs>
          <w:tab w:val="left" w:pos="1134"/>
        </w:tabs>
        <w:autoSpaceDN w:val="0"/>
        <w:spacing w:line="360" w:lineRule="auto"/>
        <w:ind w:left="0" w:firstLine="480" w:firstLineChars="200"/>
        <w:jc w:val="left"/>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调课申请单应至少提前一天，由调课教师本人办理，如临时突发性原因不能办理的，由所在二级学院教学管理人员代办。</w:t>
      </w:r>
    </w:p>
    <w:p>
      <w:pPr>
        <w:widowControl w:val="0"/>
        <w:numPr>
          <w:ilvl w:val="3"/>
          <w:numId w:val="14"/>
        </w:numPr>
        <w:shd w:val="solid" w:color="FFFFFF" w:fill="auto"/>
        <w:tabs>
          <w:tab w:val="left" w:pos="1134"/>
        </w:tabs>
        <w:autoSpaceDN w:val="0"/>
        <w:spacing w:line="360" w:lineRule="auto"/>
        <w:ind w:left="0" w:firstLine="480" w:firstLineChars="200"/>
        <w:jc w:val="left"/>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因病调课需出示二级甲等以上医院证明；因本人或直二级学院亲属重大事件调课的须经院、（处）出示相关证明材料，报教务部审批。</w:t>
      </w:r>
    </w:p>
    <w:p>
      <w:pPr>
        <w:widowControl w:val="0"/>
        <w:numPr>
          <w:ilvl w:val="3"/>
          <w:numId w:val="14"/>
        </w:numPr>
        <w:shd w:val="solid" w:color="FFFFFF" w:fill="auto"/>
        <w:tabs>
          <w:tab w:val="left" w:pos="1134"/>
        </w:tabs>
        <w:autoSpaceDN w:val="0"/>
        <w:spacing w:line="360" w:lineRule="auto"/>
        <w:ind w:left="0" w:firstLine="480" w:firstLineChars="200"/>
        <w:jc w:val="left"/>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因公调课须出示相关证明材料。</w:t>
      </w:r>
    </w:p>
    <w:p>
      <w:pPr>
        <w:shd w:val="solid" w:color="FFFFFF" w:fill="auto"/>
        <w:tabs>
          <w:tab w:val="left" w:pos="1134"/>
        </w:tabs>
        <w:autoSpaceDN w:val="0"/>
        <w:spacing w:line="360" w:lineRule="auto"/>
        <w:ind w:firstLine="480" w:firstLineChars="200"/>
        <w:rPr>
          <w:rFonts w:ascii="宋体" w:hAnsi="宋体" w:eastAsia="宋体" w:cs="Times New Roman"/>
          <w:color w:val="auto"/>
          <w:sz w:val="24"/>
          <w:szCs w:val="24"/>
          <w:shd w:val="clear" w:color="auto" w:fill="FFFFFF"/>
        </w:rPr>
      </w:pPr>
      <w:r>
        <w:rPr>
          <w:rFonts w:hint="eastAsia" w:ascii="宋体" w:hAnsi="宋体" w:eastAsia="宋体" w:cs="Times New Roman"/>
          <w:color w:val="auto"/>
          <w:sz w:val="24"/>
          <w:szCs w:val="24"/>
          <w:shd w:val="clear" w:color="auto" w:fill="FFFFFF"/>
        </w:rPr>
        <w:t>四、调课的管理与检查</w:t>
      </w:r>
    </w:p>
    <w:p>
      <w:pPr>
        <w:spacing w:line="360" w:lineRule="auto"/>
        <w:ind w:firstLine="489" w:firstLineChars="204"/>
        <w:rPr>
          <w:rFonts w:ascii="宋体" w:hAnsi="Calibri" w:eastAsia="宋体" w:cs="Times New Roman"/>
          <w:color w:val="auto"/>
          <w:sz w:val="24"/>
          <w:szCs w:val="24"/>
        </w:rPr>
      </w:pPr>
      <w:r>
        <w:rPr>
          <w:rFonts w:hint="eastAsia" w:ascii="宋体" w:hAnsi="宋体" w:eastAsia="宋体" w:cs="Times New Roman"/>
          <w:color w:val="auto"/>
          <w:sz w:val="24"/>
          <w:szCs w:val="24"/>
          <w:shd w:val="clear" w:color="auto" w:fill="FFFFFF"/>
        </w:rPr>
        <w:t>（一）凡未事先办理调课审批手续，擅自变动任课教师、上课时间和地点，</w:t>
      </w:r>
      <w:r>
        <w:rPr>
          <w:rFonts w:hint="eastAsia" w:ascii="宋体" w:hAnsi="宋体" w:eastAsia="宋体" w:cs="Times New Roman"/>
          <w:color w:val="auto"/>
          <w:sz w:val="24"/>
          <w:szCs w:val="24"/>
        </w:rPr>
        <w:t>擅自变动上课时间或请人代课，</w:t>
      </w:r>
      <w:r>
        <w:rPr>
          <w:rFonts w:hint="eastAsia" w:ascii="宋体" w:hAnsi="宋体" w:eastAsia="宋体" w:cs="Times New Roman"/>
          <w:color w:val="auto"/>
          <w:sz w:val="24"/>
          <w:szCs w:val="24"/>
          <w:shd w:val="clear" w:color="auto" w:fill="FFFFFF"/>
        </w:rPr>
        <w:t>一律视为教学事故，按有关规定处理。</w:t>
      </w:r>
    </w:p>
    <w:p>
      <w:pPr>
        <w:widowControl w:val="0"/>
        <w:shd w:val="solid" w:color="FFFFFF" w:fill="auto"/>
        <w:autoSpaceDN w:val="0"/>
        <w:spacing w:line="360" w:lineRule="auto"/>
        <w:ind w:firstLine="489" w:firstLineChars="204"/>
        <w:jc w:val="both"/>
        <w:rPr>
          <w:rFonts w:ascii="宋体" w:hAnsi="Calibri"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调停课经批准后方可调、停课，并由任课教师通知学生。</w:t>
      </w:r>
    </w:p>
    <w:p>
      <w:pPr>
        <w:widowControl w:val="0"/>
        <w:shd w:val="solid" w:color="FFFFFF" w:fill="auto"/>
        <w:autoSpaceDN w:val="0"/>
        <w:spacing w:line="360" w:lineRule="auto"/>
        <w:ind w:firstLine="489" w:firstLineChars="204"/>
        <w:jc w:val="both"/>
        <w:rPr>
          <w:rFonts w:ascii="宋体" w:hAnsi="宋体" w:eastAsia="宋体" w:cs="Times New Roman"/>
          <w:color w:val="auto"/>
          <w:kern w:val="2"/>
          <w:sz w:val="24"/>
          <w:szCs w:val="24"/>
          <w:shd w:val="clear" w:color="auto" w:fill="FFFFFF"/>
          <w:lang w:val="en-US" w:eastAsia="zh-CN" w:bidi="ar-SA"/>
        </w:rPr>
      </w:pPr>
      <w:r>
        <w:rPr>
          <w:rFonts w:hint="eastAsia" w:ascii="宋体" w:hAnsi="宋体" w:eastAsia="宋体" w:cs="Times New Roman"/>
          <w:color w:val="auto"/>
          <w:kern w:val="2"/>
          <w:sz w:val="24"/>
          <w:szCs w:val="24"/>
          <w:shd w:val="clear" w:color="auto" w:fill="FFFFFF"/>
          <w:lang w:val="en-US" w:eastAsia="zh-CN" w:bidi="ar-SA"/>
        </w:rPr>
        <w:t>（二）学院有关部门组织的非教学活动原则上不得占用教学时间或上课教室，不得在授课时间内借用任课教师。如确需在授课时间进行，应事先书面报教务部，经教务部负责人审批同意后，由教务部发出停课通知。</w:t>
      </w:r>
    </w:p>
    <w:p>
      <w:pPr>
        <w:widowControl w:val="0"/>
        <w:shd w:val="solid" w:color="FFFFFF" w:fill="auto"/>
        <w:autoSpaceDN w:val="0"/>
        <w:spacing w:line="360" w:lineRule="auto"/>
        <w:ind w:firstLine="489" w:firstLineChars="204"/>
        <w:jc w:val="both"/>
        <w:rPr>
          <w:rFonts w:ascii="宋体" w:hAnsi="Calibri" w:eastAsia="宋体" w:cs="Times New Roman"/>
          <w:color w:val="auto"/>
          <w:kern w:val="2"/>
          <w:sz w:val="24"/>
          <w:szCs w:val="24"/>
          <w:shd w:val="clear" w:color="auto" w:fill="FFFFFF"/>
          <w:lang w:val="en-US" w:eastAsia="zh-CN" w:bidi="ar-SA"/>
        </w:rPr>
      </w:pPr>
      <w:r>
        <w:rPr>
          <w:rFonts w:ascii="宋体" w:hAnsi="宋体" w:eastAsia="宋体" w:cs="Times New Roman"/>
          <w:color w:val="auto"/>
          <w:kern w:val="2"/>
          <w:sz w:val="24"/>
          <w:szCs w:val="24"/>
          <w:shd w:val="clear" w:color="auto" w:fill="FFFFFF"/>
          <w:lang w:val="en-US" w:eastAsia="zh-CN" w:bidi="ar-SA"/>
        </w:rPr>
        <w:br w:type="page"/>
      </w:r>
    </w:p>
    <w:p>
      <w:pPr>
        <w:pStyle w:val="3"/>
        <w:bidi w:val="0"/>
        <w:jc w:val="center"/>
        <w:rPr>
          <w:color w:val="auto"/>
        </w:rPr>
      </w:pPr>
      <w:bookmarkStart w:id="19" w:name="_Toc30107"/>
      <w:r>
        <w:rPr>
          <w:rFonts w:hint="eastAsia"/>
          <w:color w:val="auto"/>
        </w:rPr>
        <w:t>学生院外实践教学活动安全管理制度</w:t>
      </w:r>
      <w:bookmarkEnd w:id="19"/>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b/>
          <w:bCs/>
          <w:color w:val="auto"/>
          <w:sz w:val="24"/>
          <w:szCs w:val="24"/>
        </w:rPr>
      </w:pPr>
      <w:r>
        <w:rPr>
          <w:rFonts w:hint="eastAsia" w:ascii="宋体" w:hAnsi="宋体" w:eastAsia="宋体" w:cs="Times New Roman"/>
          <w:color w:val="auto"/>
          <w:sz w:val="24"/>
          <w:szCs w:val="24"/>
        </w:rPr>
        <w:t>为确保学生参加院外教学实践活动（见习、参观、野外认采中草药等）的安全，特制定本制度。</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全体领导和教职工均要以高度的责任心对每位师生的安全负责。对师生加强安全教育，抓好安全管理，确保外出活动人身安全。</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根据本专业 课程标准及教学计划要求，组织专业实践教学活动，并在制定学期教学计划中体现。</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院外教学实践活动遵循本地区、就近的原则。需要离开本市区（指蓬江区、江海区、会城）的院外教学实践活动，必须制定详细活动方案，包括活动目的、活动内容、目的地有关情况、交通车辆安排、带队老师安排、安全保障措施等。</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实行院外教学实践活动申报审批制度。院外教学实践活动由任课教师负责组织、相关班主任必须全程参与。在本市区范围内的活动由任课教师填写学生外出活动申请表，报教研室、二级学院、教务部、主管副院长逐级审批。离开本市区的活动，需附详细活动方案，报教研室、二级学院、教务部、主管副院长、院长、上级主管部门逐级审批。审批手续齐全后方可组织安排活动，不得事后补批。</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离开本市区的院外教学实践活动，组织活动前各班级必须告知家长有关情况，在取得家长同意后方可组织。出发前要以班级为单位做好安全、文明教育并宣布活动安排，提高学生的安全意识和自我保护意识，避免意外事故的发生；同时将班主任、带队及跟班老师移动电话号码告知学生。活动前了解学生的健康状况，对身体差，有先天性疾病的学生，要酌情处理。严禁组织学生参加超越其年龄、生理和自我保护能力范围的活动。</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租用的车辆必须是有正规营运执照的客车。离开市区的活动必须交由有国家承认资格的专业机构承办，签订协议书，并为外出人员购买意外保险。</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每辆车指定负责老师。负责老师全程跟班，从学院出发前各班清点人数，中途学生不得离队。组织学生有秩序地上、下车，教育学生不要争先恐后，要礼让。乘车时劝阻将头手伸出窗外的同学。活动中师生注意自身言行举止的得体。</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育学生注意禁示、提示性标志，不要到危险的地方玩耍。尤其在野外认采中草药时，不能擅自离开队伍独自行动。活动结束要在规定的地点按时集中，清点人数，并有秩序上车。带教老师、班主任和同行教师跟车回院，参加实践活动的全体师生安全回院后领队老师须电话告知主管领导</w:t>
      </w:r>
      <w:r>
        <w:rPr>
          <w:rFonts w:hint="eastAsia" w:ascii="宋体" w:hAnsi="宋体" w:eastAsia="宋体" w:cs="Times New Roman"/>
          <w:b/>
          <w:color w:val="auto"/>
          <w:kern w:val="2"/>
          <w:sz w:val="24"/>
          <w:szCs w:val="24"/>
          <w:lang w:val="en-US" w:eastAsia="zh-CN" w:bidi="ar-SA"/>
        </w:rPr>
        <w:t>。</w:t>
      </w:r>
    </w:p>
    <w:p>
      <w:pPr>
        <w:widowControl w:val="0"/>
        <w:numPr>
          <w:ilvl w:val="7"/>
          <w:numId w:val="15"/>
        </w:numPr>
        <w:tabs>
          <w:tab w:val="left" w:pos="993"/>
        </w:tabs>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外出见习、参观、野外认采中草药等院外教学实践活动时，任课教师（活动负责人）为安全第一责任人，班主任及同行的其它教职工负联带责任，所有参加活动的教职工必须全程跟班，将学生安全送回学院，不得借故中途离开，不得从事与本次教学实践活动无关的事项。</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spacing w:line="360" w:lineRule="auto"/>
        <w:jc w:val="center"/>
        <w:rPr>
          <w:rFonts w:ascii="宋体" w:hAnsi="Calibri" w:eastAsia="宋体" w:cs="Times New Roman"/>
          <w:b/>
          <w:bCs/>
          <w:color w:val="auto"/>
          <w:sz w:val="32"/>
          <w:szCs w:val="32"/>
        </w:rPr>
      </w:pPr>
      <w:r>
        <w:rPr>
          <w:rFonts w:hint="eastAsia" w:ascii="宋体" w:hAnsi="宋体" w:eastAsia="宋体" w:cs="Times New Roman"/>
          <w:b/>
          <w:color w:val="auto"/>
          <w:sz w:val="32"/>
          <w:szCs w:val="32"/>
        </w:rPr>
        <w:t>广东江门中医药职业学院学生外出活动</w:t>
      </w:r>
      <w:r>
        <w:rPr>
          <w:rFonts w:hint="eastAsia" w:ascii="宋体" w:hAnsi="宋体" w:eastAsia="宋体" w:cs="Times New Roman"/>
          <w:b/>
          <w:bCs/>
          <w:color w:val="auto"/>
          <w:sz w:val="32"/>
          <w:szCs w:val="32"/>
        </w:rPr>
        <w:t>审批表</w:t>
      </w:r>
    </w:p>
    <w:tbl>
      <w:tblPr>
        <w:tblStyle w:val="1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2379"/>
        <w:gridCol w:w="1788"/>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组织活动</w:t>
            </w:r>
          </w:p>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的班级或单位</w:t>
            </w:r>
          </w:p>
        </w:tc>
        <w:tc>
          <w:tcPr>
            <w:tcW w:w="2379" w:type="dxa"/>
            <w:noWrap w:val="0"/>
            <w:vAlign w:val="bottom"/>
          </w:tcPr>
          <w:p>
            <w:pPr>
              <w:spacing w:line="360" w:lineRule="auto"/>
              <w:ind w:firstLine="480" w:firstLineChars="200"/>
              <w:jc w:val="center"/>
              <w:rPr>
                <w:rFonts w:ascii="宋体" w:hAnsi="Calibri" w:eastAsia="宋体" w:cs="Times New Roman"/>
                <w:bCs/>
                <w:color w:val="auto"/>
                <w:sz w:val="24"/>
                <w:szCs w:val="24"/>
              </w:rPr>
            </w:pPr>
          </w:p>
        </w:tc>
        <w:tc>
          <w:tcPr>
            <w:tcW w:w="1788" w:type="dxa"/>
            <w:noWrap w:val="0"/>
            <w:vAlign w:val="bottom"/>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参加活动</w:t>
            </w:r>
          </w:p>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人</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数</w:t>
            </w:r>
          </w:p>
        </w:tc>
        <w:tc>
          <w:tcPr>
            <w:tcW w:w="2592" w:type="dxa"/>
            <w:noWrap w:val="0"/>
            <w:vAlign w:val="bottom"/>
          </w:tcPr>
          <w:p>
            <w:pPr>
              <w:spacing w:line="360" w:lineRule="auto"/>
              <w:ind w:firstLine="480" w:firstLineChars="200"/>
              <w:jc w:val="center"/>
              <w:rPr>
                <w:rFonts w:ascii="宋体" w:hAnsi="Calibri" w:eastAsia="宋体" w:cs="Times New Roman"/>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活动时间</w:t>
            </w:r>
          </w:p>
        </w:tc>
        <w:tc>
          <w:tcPr>
            <w:tcW w:w="2379" w:type="dxa"/>
            <w:noWrap w:val="0"/>
            <w:vAlign w:val="center"/>
          </w:tcPr>
          <w:p>
            <w:pPr>
              <w:spacing w:line="360" w:lineRule="auto"/>
              <w:ind w:firstLine="480" w:firstLineChars="200"/>
              <w:jc w:val="center"/>
              <w:rPr>
                <w:rFonts w:ascii="宋体" w:hAnsi="Calibri" w:eastAsia="宋体" w:cs="Times New Roman"/>
                <w:bCs/>
                <w:color w:val="auto"/>
                <w:sz w:val="24"/>
                <w:szCs w:val="24"/>
              </w:rPr>
            </w:pPr>
          </w:p>
        </w:tc>
        <w:tc>
          <w:tcPr>
            <w:tcW w:w="1788"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活动地点</w:t>
            </w:r>
          </w:p>
        </w:tc>
        <w:tc>
          <w:tcPr>
            <w:tcW w:w="2592" w:type="dxa"/>
            <w:noWrap w:val="0"/>
            <w:vAlign w:val="center"/>
          </w:tcPr>
          <w:p>
            <w:pPr>
              <w:spacing w:line="360" w:lineRule="auto"/>
              <w:ind w:firstLine="480" w:firstLineChars="200"/>
              <w:jc w:val="center"/>
              <w:rPr>
                <w:rFonts w:ascii="宋体" w:hAnsi="Calibri" w:eastAsia="宋体" w:cs="Times New Roman"/>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2" w:hRule="atLeast"/>
        </w:trPr>
        <w:tc>
          <w:tcPr>
            <w:tcW w:w="1881" w:type="dxa"/>
            <w:noWrap w:val="0"/>
            <w:vAlign w:val="center"/>
          </w:tcPr>
          <w:p>
            <w:pPr>
              <w:spacing w:line="360" w:lineRule="auto"/>
              <w:jc w:val="center"/>
              <w:rPr>
                <w:rFonts w:ascii="宋体" w:hAnsi="Calibri" w:eastAsia="宋体" w:cs="Times New Roman"/>
                <w:color w:val="auto"/>
                <w:sz w:val="24"/>
                <w:szCs w:val="24"/>
              </w:rPr>
            </w:pPr>
            <w:r>
              <w:rPr>
                <w:rFonts w:hint="eastAsia" w:ascii="宋体" w:hAnsi="宋体" w:eastAsia="宋体" w:cs="Times New Roman"/>
                <w:bCs/>
                <w:color w:val="auto"/>
                <w:sz w:val="24"/>
                <w:szCs w:val="24"/>
              </w:rPr>
              <w:t>活动内容</w:t>
            </w:r>
          </w:p>
        </w:tc>
        <w:tc>
          <w:tcPr>
            <w:tcW w:w="6759" w:type="dxa"/>
            <w:gridSpan w:val="3"/>
            <w:noWrap w:val="0"/>
            <w:vAlign w:val="center"/>
          </w:tcPr>
          <w:p>
            <w:pPr>
              <w:spacing w:line="360" w:lineRule="auto"/>
              <w:ind w:firstLine="480" w:firstLineChars="200"/>
              <w:jc w:val="center"/>
              <w:rPr>
                <w:rFonts w:ascii="宋体" w:hAnsi="Calibri" w:eastAsia="宋体" w:cs="Times New Roman"/>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带队老师</w:t>
            </w:r>
          </w:p>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姓</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名</w:t>
            </w:r>
          </w:p>
        </w:tc>
        <w:tc>
          <w:tcPr>
            <w:tcW w:w="2379" w:type="dxa"/>
            <w:noWrap w:val="0"/>
            <w:vAlign w:val="center"/>
          </w:tcPr>
          <w:p>
            <w:pPr>
              <w:spacing w:line="360" w:lineRule="auto"/>
              <w:ind w:firstLine="482" w:firstLineChars="200"/>
              <w:jc w:val="center"/>
              <w:rPr>
                <w:rFonts w:ascii="宋体" w:hAnsi="Calibri" w:eastAsia="宋体" w:cs="宋体"/>
                <w:b/>
                <w:bCs/>
                <w:color w:val="auto"/>
                <w:sz w:val="24"/>
                <w:szCs w:val="24"/>
              </w:rPr>
            </w:pPr>
          </w:p>
        </w:tc>
        <w:tc>
          <w:tcPr>
            <w:tcW w:w="1788"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带队老师</w:t>
            </w:r>
          </w:p>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手机号码</w:t>
            </w:r>
          </w:p>
        </w:tc>
        <w:tc>
          <w:tcPr>
            <w:tcW w:w="2592" w:type="dxa"/>
            <w:noWrap w:val="0"/>
            <w:vAlign w:val="center"/>
          </w:tcPr>
          <w:p>
            <w:pPr>
              <w:spacing w:line="360" w:lineRule="auto"/>
              <w:ind w:firstLine="480" w:firstLineChars="200"/>
              <w:jc w:val="center"/>
              <w:rPr>
                <w:rFonts w:ascii="宋体" w:hAnsi="Calibri"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4"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活动承诺</w:t>
            </w:r>
          </w:p>
        </w:tc>
        <w:tc>
          <w:tcPr>
            <w:tcW w:w="6759" w:type="dxa"/>
            <w:gridSpan w:val="3"/>
            <w:noWrap w:val="0"/>
            <w:vAlign w:val="center"/>
          </w:tcPr>
          <w:p>
            <w:pPr>
              <w:tabs>
                <w:tab w:val="left" w:pos="432"/>
              </w:tabs>
              <w:spacing w:line="288" w:lineRule="auto"/>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本活动不影响学院正常的教学秩序；</w:t>
            </w:r>
          </w:p>
          <w:p>
            <w:pPr>
              <w:tabs>
                <w:tab w:val="left" w:pos="432"/>
              </w:tabs>
              <w:spacing w:line="288" w:lineRule="auto"/>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所租用的车辆持有合法的交通营运证；</w:t>
            </w:r>
          </w:p>
          <w:p>
            <w:pPr>
              <w:tabs>
                <w:tab w:val="left" w:pos="432"/>
              </w:tabs>
              <w:spacing w:line="288" w:lineRule="auto"/>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所联</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的旅行社具有合法经营资格；</w:t>
            </w:r>
          </w:p>
          <w:p>
            <w:pPr>
              <w:tabs>
                <w:tab w:val="left" w:pos="432"/>
              </w:tabs>
              <w:spacing w:line="288" w:lineRule="auto"/>
              <w:rPr>
                <w:rFonts w:ascii="宋体" w:hAnsi="Calibri" w:eastAsia="宋体" w:cs="Times New Roman"/>
                <w:color w:val="auto"/>
                <w:sz w:val="24"/>
                <w:szCs w:val="24"/>
              </w:rPr>
            </w:pPr>
            <w:r>
              <w:rPr>
                <w:rFonts w:ascii="宋体" w:hAnsi="宋体" w:eastAsia="宋体" w:cs="Times New Roman"/>
                <w:color w:val="auto"/>
                <w:sz w:val="24"/>
                <w:szCs w:val="24"/>
              </w:rPr>
              <w:t>4.</w:t>
            </w:r>
            <w:r>
              <w:rPr>
                <w:rFonts w:hint="eastAsia" w:ascii="宋体" w:hAnsi="宋体" w:eastAsia="宋体" w:cs="Times New Roman"/>
                <w:color w:val="auto"/>
                <w:sz w:val="24"/>
                <w:szCs w:val="24"/>
              </w:rPr>
              <w:t>活动前，负责人对参加同学进行了安全教育和法纪法规教育，参加活动的同学承诺不参与危害人身安全的冒险活动，并严格遵守国家法律法规和当地旅游等相关部门的有关规定。</w:t>
            </w:r>
          </w:p>
          <w:p>
            <w:pPr>
              <w:tabs>
                <w:tab w:val="left" w:pos="432"/>
              </w:tabs>
              <w:spacing w:line="288" w:lineRule="auto"/>
              <w:rPr>
                <w:rFonts w:ascii="宋体" w:hAnsi="Calibri" w:eastAsia="宋体" w:cs="Times New Roman"/>
                <w:color w:val="auto"/>
                <w:sz w:val="24"/>
                <w:szCs w:val="24"/>
              </w:rPr>
            </w:pPr>
            <w:r>
              <w:rPr>
                <w:rFonts w:ascii="宋体" w:hAnsi="宋体" w:eastAsia="宋体" w:cs="Times New Roman"/>
                <w:color w:val="auto"/>
                <w:sz w:val="24"/>
                <w:szCs w:val="24"/>
              </w:rPr>
              <w:t>5.</w:t>
            </w:r>
            <w:r>
              <w:rPr>
                <w:rFonts w:hint="eastAsia" w:ascii="宋体" w:hAnsi="宋体" w:eastAsia="宋体" w:cs="Times New Roman"/>
                <w:color w:val="auto"/>
                <w:sz w:val="24"/>
                <w:szCs w:val="24"/>
              </w:rPr>
              <w:t>活动期间，负责人和带队教师保持通讯工具畅通。</w:t>
            </w:r>
          </w:p>
          <w:p>
            <w:pPr>
              <w:pStyle w:val="7"/>
              <w:tabs>
                <w:tab w:val="left" w:pos="432"/>
              </w:tabs>
              <w:spacing w:after="0" w:line="288" w:lineRule="auto"/>
              <w:ind w:left="0" w:leftChars="0"/>
              <w:rPr>
                <w:rFonts w:ascii="宋体" w:hAnsi="Calibri" w:eastAsia="宋体" w:cs="Times New Roman"/>
                <w:color w:val="auto"/>
                <w:kern w:val="2"/>
                <w:sz w:val="24"/>
                <w:szCs w:val="24"/>
                <w:lang w:val="en-US" w:eastAsia="zh-CN"/>
              </w:rPr>
            </w:pPr>
            <w:r>
              <w:rPr>
                <w:rFonts w:ascii="宋体" w:hAnsi="宋体" w:eastAsia="宋体" w:cs="Times New Roman"/>
                <w:color w:val="auto"/>
                <w:kern w:val="2"/>
                <w:sz w:val="24"/>
                <w:szCs w:val="24"/>
                <w:lang w:val="en-US" w:eastAsia="zh-CN"/>
              </w:rPr>
              <w:t>6.</w:t>
            </w:r>
            <w:r>
              <w:rPr>
                <w:rFonts w:hint="eastAsia" w:ascii="宋体" w:hAnsi="宋体" w:eastAsia="宋体" w:cs="Times New Roman"/>
                <w:color w:val="auto"/>
                <w:kern w:val="2"/>
                <w:sz w:val="24"/>
                <w:szCs w:val="24"/>
                <w:lang w:val="en-US" w:eastAsia="zh-CN"/>
              </w:rPr>
              <w:t>活动结束后，及时向学院和审批部门汇报平安返院。</w:t>
            </w:r>
          </w:p>
          <w:p>
            <w:pPr>
              <w:spacing w:line="288" w:lineRule="auto"/>
              <w:ind w:right="480" w:firstLine="2520" w:firstLineChars="1050"/>
              <w:rPr>
                <w:rFonts w:ascii="宋体" w:hAnsi="Calibri" w:eastAsia="宋体" w:cs="Times New Roman"/>
                <w:bCs/>
                <w:color w:val="auto"/>
                <w:sz w:val="24"/>
                <w:szCs w:val="24"/>
              </w:rPr>
            </w:pPr>
            <w:r>
              <w:rPr>
                <w:rFonts w:hint="eastAsia" w:ascii="宋体" w:hAnsi="宋体" w:eastAsia="宋体" w:cs="Times New Roman"/>
                <w:bCs/>
                <w:color w:val="auto"/>
                <w:sz w:val="24"/>
                <w:szCs w:val="24"/>
              </w:rPr>
              <w:t>活动负责人（签字）：</w:t>
            </w:r>
          </w:p>
          <w:p>
            <w:pPr>
              <w:spacing w:line="288" w:lineRule="auto"/>
              <w:ind w:firstLine="480" w:firstLineChars="200"/>
              <w:jc w:val="right"/>
              <w:rPr>
                <w:rFonts w:ascii="宋体" w:hAnsi="Calibri" w:eastAsia="宋体" w:cs="Times New Roman"/>
                <w:bCs/>
                <w:color w:val="auto"/>
                <w:sz w:val="24"/>
                <w:szCs w:val="24"/>
              </w:rPr>
            </w:pPr>
            <w:r>
              <w:rPr>
                <w:rFonts w:hint="eastAsia" w:ascii="宋体" w:hAnsi="宋体" w:eastAsia="宋体" w:cs="Times New Roman"/>
                <w:bCs/>
                <w:color w:val="auto"/>
                <w:sz w:val="24"/>
                <w:szCs w:val="24"/>
              </w:rPr>
              <w:t>日期：</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年</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月</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6"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lang w:eastAsia="zh-CN"/>
              </w:rPr>
              <w:t>二级学院</w:t>
            </w:r>
            <w:r>
              <w:rPr>
                <w:rFonts w:hint="eastAsia" w:ascii="宋体" w:hAnsi="宋体" w:eastAsia="宋体" w:cs="Times New Roman"/>
                <w:bCs/>
                <w:color w:val="auto"/>
                <w:sz w:val="24"/>
                <w:szCs w:val="24"/>
              </w:rPr>
              <w:t>意见</w:t>
            </w:r>
          </w:p>
        </w:tc>
        <w:tc>
          <w:tcPr>
            <w:tcW w:w="6759" w:type="dxa"/>
            <w:gridSpan w:val="3"/>
            <w:noWrap w:val="0"/>
            <w:vAlign w:val="center"/>
          </w:tcPr>
          <w:p>
            <w:pPr>
              <w:spacing w:line="360" w:lineRule="auto"/>
              <w:ind w:firstLine="2640" w:firstLineChars="1100"/>
              <w:rPr>
                <w:rFonts w:ascii="宋体" w:hAnsi="Calibri" w:eastAsia="宋体" w:cs="Times New Roman"/>
                <w:bCs/>
                <w:color w:val="auto"/>
                <w:sz w:val="24"/>
                <w:szCs w:val="24"/>
              </w:rPr>
            </w:pPr>
            <w:r>
              <w:rPr>
                <w:rFonts w:hint="eastAsia" w:ascii="宋体" w:hAnsi="宋体" w:eastAsia="宋体" w:cs="Times New Roman"/>
                <w:bCs/>
                <w:color w:val="auto"/>
                <w:sz w:val="24"/>
                <w:szCs w:val="24"/>
              </w:rPr>
              <w:t>签名（盖章）</w:t>
            </w:r>
          </w:p>
          <w:p>
            <w:pPr>
              <w:spacing w:line="360" w:lineRule="auto"/>
              <w:ind w:firstLine="480" w:firstLineChars="200"/>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日期：</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年</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月</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6"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主管职能部门意见</w:t>
            </w:r>
          </w:p>
        </w:tc>
        <w:tc>
          <w:tcPr>
            <w:tcW w:w="6759" w:type="dxa"/>
            <w:gridSpan w:val="3"/>
            <w:noWrap w:val="0"/>
            <w:vAlign w:val="center"/>
          </w:tcPr>
          <w:p>
            <w:pPr>
              <w:spacing w:line="360" w:lineRule="auto"/>
              <w:ind w:firstLine="2640" w:firstLineChars="1100"/>
              <w:rPr>
                <w:rFonts w:ascii="宋体" w:hAnsi="Calibri" w:eastAsia="宋体" w:cs="Times New Roman"/>
                <w:bCs/>
                <w:color w:val="auto"/>
                <w:sz w:val="24"/>
                <w:szCs w:val="24"/>
              </w:rPr>
            </w:pPr>
            <w:r>
              <w:rPr>
                <w:rFonts w:hint="eastAsia" w:ascii="宋体" w:hAnsi="宋体" w:eastAsia="宋体" w:cs="Times New Roman"/>
                <w:bCs/>
                <w:color w:val="auto"/>
                <w:sz w:val="24"/>
                <w:szCs w:val="24"/>
              </w:rPr>
              <w:t>签名（盖章）</w:t>
            </w:r>
          </w:p>
          <w:p>
            <w:pPr>
              <w:spacing w:line="360" w:lineRule="auto"/>
              <w:ind w:firstLine="480" w:firstLineChars="200"/>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日期：</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年</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月</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7"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主管院领导</w:t>
            </w:r>
          </w:p>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意见</w:t>
            </w:r>
          </w:p>
        </w:tc>
        <w:tc>
          <w:tcPr>
            <w:tcW w:w="6759" w:type="dxa"/>
            <w:gridSpan w:val="3"/>
            <w:noWrap w:val="0"/>
            <w:vAlign w:val="center"/>
          </w:tcPr>
          <w:p>
            <w:pPr>
              <w:spacing w:line="360" w:lineRule="auto"/>
              <w:rPr>
                <w:rFonts w:ascii="宋体" w:hAnsi="Calibri" w:eastAsia="宋体" w:cs="Times New Roman"/>
                <w:bCs/>
                <w:color w:val="auto"/>
                <w:sz w:val="24"/>
                <w:szCs w:val="24"/>
              </w:rPr>
            </w:pPr>
          </w:p>
          <w:p>
            <w:pPr>
              <w:spacing w:line="360" w:lineRule="auto"/>
              <w:ind w:firstLine="480" w:firstLineChars="200"/>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签名（盖章）：</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单位公章</w:t>
            </w:r>
          </w:p>
          <w:p>
            <w:pPr>
              <w:spacing w:line="360" w:lineRule="auto"/>
              <w:ind w:firstLine="480" w:firstLineChars="200"/>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日期：</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年</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月</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2" w:hRule="atLeast"/>
        </w:trPr>
        <w:tc>
          <w:tcPr>
            <w:tcW w:w="1881" w:type="dxa"/>
            <w:noWrap w:val="0"/>
            <w:vAlign w:val="center"/>
          </w:tcPr>
          <w:p>
            <w:pPr>
              <w:spacing w:line="360" w:lineRule="auto"/>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上级主管部门意见</w:t>
            </w:r>
          </w:p>
        </w:tc>
        <w:tc>
          <w:tcPr>
            <w:tcW w:w="6759" w:type="dxa"/>
            <w:gridSpan w:val="3"/>
            <w:noWrap w:val="0"/>
            <w:vAlign w:val="center"/>
          </w:tcPr>
          <w:p>
            <w:pPr>
              <w:spacing w:line="360" w:lineRule="auto"/>
              <w:rPr>
                <w:rFonts w:ascii="宋体" w:hAnsi="Calibri" w:eastAsia="宋体" w:cs="Times New Roman"/>
                <w:bCs/>
                <w:color w:val="auto"/>
                <w:sz w:val="24"/>
                <w:szCs w:val="24"/>
              </w:rPr>
            </w:pPr>
          </w:p>
          <w:p>
            <w:pPr>
              <w:spacing w:line="360" w:lineRule="auto"/>
              <w:ind w:firstLine="480" w:firstLineChars="200"/>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单位公章</w:t>
            </w:r>
          </w:p>
          <w:p>
            <w:pPr>
              <w:spacing w:line="360" w:lineRule="auto"/>
              <w:ind w:firstLine="480" w:firstLineChars="200"/>
              <w:jc w:val="center"/>
              <w:rPr>
                <w:rFonts w:ascii="宋体" w:hAnsi="Calibri" w:eastAsia="宋体" w:cs="Times New Roman"/>
                <w:bCs/>
                <w:color w:val="auto"/>
                <w:sz w:val="24"/>
                <w:szCs w:val="24"/>
              </w:rPr>
            </w:pPr>
            <w:r>
              <w:rPr>
                <w:rFonts w:hint="eastAsia" w:ascii="宋体" w:hAnsi="宋体" w:eastAsia="宋体" w:cs="Times New Roman"/>
                <w:bCs/>
                <w:color w:val="auto"/>
                <w:sz w:val="24"/>
                <w:szCs w:val="24"/>
              </w:rPr>
              <w:t>日期：</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年</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月</w:t>
            </w:r>
            <w:r>
              <w:rPr>
                <w:rFonts w:ascii="宋体" w:hAnsi="宋体" w:eastAsia="宋体" w:cs="Times New Roman"/>
                <w:bCs/>
                <w:color w:val="auto"/>
                <w:sz w:val="24"/>
                <w:szCs w:val="24"/>
              </w:rPr>
              <w:t xml:space="preserve">   </w:t>
            </w:r>
            <w:r>
              <w:rPr>
                <w:rFonts w:hint="eastAsia" w:ascii="宋体" w:hAnsi="宋体" w:eastAsia="宋体" w:cs="Times New Roman"/>
                <w:bCs/>
                <w:color w:val="auto"/>
                <w:sz w:val="24"/>
                <w:szCs w:val="24"/>
              </w:rPr>
              <w:t>日</w:t>
            </w:r>
          </w:p>
        </w:tc>
      </w:tr>
    </w:tbl>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注：</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本表一式二份，审批后一份存学院办公室、一份存</w:t>
      </w:r>
      <w:r>
        <w:rPr>
          <w:rFonts w:hint="eastAsia" w:ascii="宋体" w:hAnsi="宋体" w:eastAsia="宋体" w:cs="Times New Roman"/>
          <w:bCs/>
          <w:color w:val="auto"/>
          <w:sz w:val="24"/>
          <w:szCs w:val="24"/>
        </w:rPr>
        <w:t>主管职能部门</w:t>
      </w:r>
      <w:r>
        <w:rPr>
          <w:rFonts w:hint="eastAsia" w:ascii="宋体" w:hAnsi="宋体" w:eastAsia="宋体" w:cs="宋体"/>
          <w:color w:val="auto"/>
          <w:kern w:val="0"/>
          <w:sz w:val="24"/>
          <w:szCs w:val="24"/>
        </w:rPr>
        <w:t>。</w:t>
      </w:r>
    </w:p>
    <w:p>
      <w:pPr>
        <w:tabs>
          <w:tab w:val="left" w:pos="360"/>
          <w:tab w:val="left" w:pos="540"/>
          <w:tab w:val="left" w:pos="735"/>
          <w:tab w:val="left" w:pos="993"/>
        </w:tabs>
        <w:spacing w:line="360" w:lineRule="auto"/>
        <w:ind w:firstLine="960"/>
        <w:rPr>
          <w:rFonts w:ascii="宋体" w:hAnsi="宋体" w:eastAsia="宋体" w:cs="Times New Roman"/>
          <w:bCs/>
          <w:color w:val="auto"/>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活动离开江门市区的需报市</w:t>
      </w:r>
      <w:r>
        <w:rPr>
          <w:rFonts w:hint="eastAsia" w:ascii="宋体" w:hAnsi="宋体" w:eastAsia="宋体" w:cs="Times New Roman"/>
          <w:bCs/>
          <w:color w:val="auto"/>
          <w:sz w:val="24"/>
          <w:szCs w:val="24"/>
        </w:rPr>
        <w:t>卫生计生局审批、市教育局备案。</w:t>
      </w:r>
    </w:p>
    <w:p>
      <w:pPr>
        <w:pStyle w:val="12"/>
        <w:rPr>
          <w:rFonts w:eastAsia="宋体" w:cs="Times New Roman"/>
          <w:color w:val="auto"/>
        </w:rPr>
      </w:pPr>
      <w:r>
        <w:rPr>
          <w:rFonts w:ascii="宋体" w:eastAsia="宋体" w:cs="Times New Roman"/>
          <w:bCs w:val="0"/>
          <w:color w:val="auto"/>
          <w:sz w:val="24"/>
          <w:szCs w:val="24"/>
        </w:rPr>
        <w:br w:type="page"/>
      </w:r>
      <w:bookmarkStart w:id="20" w:name="_Toc25228"/>
      <w:r>
        <w:rPr>
          <w:rStyle w:val="36"/>
          <w:rFonts w:hint="eastAsia"/>
          <w:b/>
          <w:color w:val="auto"/>
        </w:rPr>
        <w:t>教学事故（差错）认定和处理规定</w:t>
      </w:r>
      <w:bookmarkEnd w:id="20"/>
    </w:p>
    <w:p>
      <w:pPr>
        <w:spacing w:line="360" w:lineRule="auto"/>
        <w:ind w:firstLine="200"/>
        <w:rPr>
          <w:rFonts w:ascii="Calibri" w:hAnsi="Calibri" w:eastAsia="宋体" w:cs="Times New Roman"/>
          <w:color w:val="auto"/>
        </w:rPr>
      </w:pPr>
    </w:p>
    <w:p>
      <w:pPr>
        <w:spacing w:line="360" w:lineRule="auto"/>
        <w:ind w:firstLine="480" w:firstLineChars="200"/>
        <w:rPr>
          <w:rFonts w:ascii="Calibri" w:hAnsi="Calibri" w:eastAsia="宋体" w:cs="宋体"/>
          <w:bCs/>
          <w:color w:val="auto"/>
          <w:kern w:val="36"/>
          <w:sz w:val="24"/>
          <w:szCs w:val="24"/>
        </w:rPr>
      </w:pPr>
      <w:r>
        <w:rPr>
          <w:rFonts w:hint="eastAsia" w:ascii="Calibri" w:hAnsi="Calibri" w:eastAsia="宋体" w:cs="Times New Roman"/>
          <w:color w:val="auto"/>
          <w:sz w:val="24"/>
          <w:szCs w:val="24"/>
        </w:rPr>
        <w:t>为加强教学管理，维护正常的教学秩序，严明教学纪律，促进学院良好的学风、教风、院风建设，根据《</w:t>
      </w:r>
      <w:r>
        <w:rPr>
          <w:rFonts w:hint="eastAsia" w:ascii="Calibri" w:hAnsi="Calibri" w:eastAsia="宋体" w:cs="宋体"/>
          <w:bCs/>
          <w:color w:val="auto"/>
          <w:kern w:val="36"/>
          <w:sz w:val="24"/>
          <w:szCs w:val="24"/>
        </w:rPr>
        <w:t>中华人民共和国高等教育法</w:t>
      </w:r>
      <w:r>
        <w:rPr>
          <w:rFonts w:hint="eastAsia" w:ascii="Calibri" w:hAnsi="Calibri" w:eastAsia="宋体" w:cs="Times New Roman"/>
          <w:color w:val="auto"/>
          <w:sz w:val="24"/>
          <w:szCs w:val="24"/>
        </w:rPr>
        <w:t>》和《</w:t>
      </w:r>
      <w:r>
        <w:rPr>
          <w:rFonts w:hint="eastAsia" w:ascii="Calibri" w:hAnsi="Calibri" w:eastAsia="宋体" w:cs="宋体"/>
          <w:bCs/>
          <w:color w:val="auto"/>
          <w:kern w:val="36"/>
          <w:sz w:val="24"/>
          <w:szCs w:val="24"/>
        </w:rPr>
        <w:t>中华人民共和国职业教育法</w:t>
      </w:r>
      <w:r>
        <w:rPr>
          <w:rFonts w:hint="eastAsia" w:ascii="Calibri" w:hAnsi="Calibri" w:eastAsia="宋体" w:cs="Times New Roman"/>
          <w:color w:val="auto"/>
          <w:sz w:val="24"/>
          <w:szCs w:val="24"/>
        </w:rPr>
        <w:t>》的有关规定，特制订本办法。</w:t>
      </w:r>
    </w:p>
    <w:p>
      <w:pPr>
        <w:numPr>
          <w:ilvl w:val="0"/>
          <w:numId w:val="16"/>
        </w:numPr>
        <w:spacing w:line="360" w:lineRule="auto"/>
        <w:ind w:left="0" w:firstLine="200"/>
        <w:rPr>
          <w:rFonts w:ascii="宋体" w:hAnsi="Calibri" w:eastAsia="宋体" w:cs="Times New Roman"/>
          <w:b/>
          <w:color w:val="auto"/>
          <w:sz w:val="24"/>
          <w:szCs w:val="24"/>
        </w:rPr>
      </w:pPr>
      <w:r>
        <w:rPr>
          <w:rFonts w:hint="eastAsia" w:ascii="宋体" w:hAnsi="宋体" w:eastAsia="宋体" w:cs="Times New Roman"/>
          <w:b/>
          <w:color w:val="auto"/>
          <w:sz w:val="24"/>
          <w:szCs w:val="24"/>
        </w:rPr>
        <w:t>教学事故的定义、范围及分级</w:t>
      </w:r>
    </w:p>
    <w:p>
      <w:pPr>
        <w:widowControl w:val="0"/>
        <w:numPr>
          <w:ilvl w:val="0"/>
          <w:numId w:val="17"/>
        </w:numPr>
        <w:tabs>
          <w:tab w:val="left" w:pos="1134"/>
        </w:tabs>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本办法中的教学事故，是指在教学和教学管理活动中，教师、教学管理人员不履行岗位职责，影响了教学秩序，对学院、教师或学生带来不良后果及一定损失的行为。</w:t>
      </w:r>
    </w:p>
    <w:p>
      <w:pPr>
        <w:widowControl w:val="0"/>
        <w:numPr>
          <w:ilvl w:val="0"/>
          <w:numId w:val="17"/>
        </w:numPr>
        <w:tabs>
          <w:tab w:val="left" w:pos="1134"/>
        </w:tabs>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教学事故包括教学活动和教学管理工作方面的事故，涉及范围涵盖教师、辅导人员；教学管理、教学后勤部门及其工作人员。</w:t>
      </w:r>
    </w:p>
    <w:p>
      <w:pPr>
        <w:widowControl w:val="0"/>
        <w:numPr>
          <w:ilvl w:val="0"/>
          <w:numId w:val="17"/>
        </w:numPr>
        <w:tabs>
          <w:tab w:val="left" w:pos="1134"/>
        </w:tabs>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本办法将教学事故按其性质、严重程度和后果分为五个等级，五级、四级为教学差错。</w:t>
      </w:r>
    </w:p>
    <w:p>
      <w:pPr>
        <w:widowControl w:val="0"/>
        <w:numPr>
          <w:ilvl w:val="0"/>
          <w:numId w:val="18"/>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五级教学差错，指情节和造成后果轻微的违反教学工作规程或教学工作纪律的行为。</w:t>
      </w:r>
    </w:p>
    <w:p>
      <w:pPr>
        <w:widowControl w:val="0"/>
        <w:numPr>
          <w:ilvl w:val="0"/>
          <w:numId w:val="18"/>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四级教学差错，指持续时间较短，影响面不大、程度不深，后果不严重的行为。</w:t>
      </w:r>
    </w:p>
    <w:p>
      <w:pPr>
        <w:widowControl w:val="0"/>
        <w:numPr>
          <w:ilvl w:val="0"/>
          <w:numId w:val="18"/>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三级教学事故</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较严重教学事故</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，指持续时间较长，影响面较大、程度较深，后果较严重的事故。</w:t>
      </w:r>
    </w:p>
    <w:p>
      <w:pPr>
        <w:widowControl w:val="0"/>
        <w:numPr>
          <w:ilvl w:val="0"/>
          <w:numId w:val="18"/>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二级教学事故</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严重教学事故</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，指后果严重，影响恶劣，严重损害学生权益或学院声誉的事故。</w:t>
      </w:r>
    </w:p>
    <w:p>
      <w:pPr>
        <w:widowControl w:val="0"/>
        <w:numPr>
          <w:ilvl w:val="0"/>
          <w:numId w:val="18"/>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一级教学事故</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特严重教学事故</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，指后果特别严重，影响特别恶劣和深远，严重损害学生权益或学院声誉的事故。</w:t>
      </w:r>
    </w:p>
    <w:p>
      <w:pPr>
        <w:spacing w:line="360" w:lineRule="auto"/>
        <w:ind w:firstLine="480" w:firstLineChars="200"/>
        <w:rPr>
          <w:rFonts w:ascii="宋体" w:hAnsi="Calibri" w:eastAsia="宋体" w:cs="Times New Roman"/>
          <w:color w:val="auto"/>
          <w:sz w:val="24"/>
          <w:szCs w:val="24"/>
        </w:rPr>
      </w:pPr>
    </w:p>
    <w:p>
      <w:pPr>
        <w:widowControl/>
        <w:jc w:val="left"/>
        <w:rPr>
          <w:rFonts w:ascii="宋体" w:hAnsi="Calibri" w:eastAsia="宋体" w:cs="Times New Roman"/>
          <w:color w:val="auto"/>
          <w:sz w:val="24"/>
        </w:rPr>
      </w:pPr>
      <w:r>
        <w:rPr>
          <w:rFonts w:ascii="宋体" w:hAnsi="Calibri" w:eastAsia="宋体" w:cs="Times New Roman"/>
          <w:color w:val="auto"/>
          <w:sz w:val="24"/>
        </w:rPr>
        <w:br w:type="page"/>
      </w:r>
    </w:p>
    <w:p>
      <w:pPr>
        <w:widowControl/>
        <w:tabs>
          <w:tab w:val="left" w:pos="7371"/>
        </w:tabs>
        <w:spacing w:line="360" w:lineRule="auto"/>
        <w:ind w:firstLine="482" w:firstLineChars="200"/>
        <w:jc w:val="center"/>
        <w:rPr>
          <w:rFonts w:ascii="宋体" w:hAnsi="宋体" w:eastAsia="宋体" w:cs="Times New Roman"/>
          <w:b/>
          <w:color w:val="auto"/>
          <w:sz w:val="24"/>
          <w:szCs w:val="24"/>
        </w:rPr>
      </w:pPr>
      <w:r>
        <w:rPr>
          <w:rFonts w:hint="eastAsia" w:ascii="宋体" w:hAnsi="宋体" w:eastAsia="宋体" w:cs="Times New Roman"/>
          <w:b/>
          <w:color w:val="auto"/>
          <w:sz w:val="24"/>
          <w:szCs w:val="24"/>
        </w:rPr>
        <w:t>教学事故的分类与认定等级</w:t>
      </w:r>
      <w:r>
        <w:rPr>
          <w:rFonts w:ascii="宋体" w:hAnsi="宋体" w:eastAsia="宋体" w:cs="Times New Roman"/>
          <w:b/>
          <w:color w:val="auto"/>
          <w:sz w:val="24"/>
          <w:szCs w:val="24"/>
        </w:rPr>
        <w:t>(</w:t>
      </w:r>
      <w:r>
        <w:rPr>
          <w:rFonts w:hint="eastAsia" w:ascii="宋体" w:hAnsi="宋体" w:eastAsia="宋体" w:cs="Times New Roman"/>
          <w:b/>
          <w:color w:val="auto"/>
          <w:sz w:val="24"/>
          <w:szCs w:val="24"/>
        </w:rPr>
        <w:t>表</w:t>
      </w:r>
      <w:r>
        <w:rPr>
          <w:rFonts w:ascii="宋体" w:hAnsi="宋体" w:eastAsia="宋体" w:cs="Times New Roman"/>
          <w:b/>
          <w:color w:val="auto"/>
          <w:sz w:val="24"/>
          <w:szCs w:val="24"/>
        </w:rPr>
        <w:t>)</w:t>
      </w:r>
    </w:p>
    <w:tbl>
      <w:tblPr>
        <w:tblStyle w:val="16"/>
        <w:tblW w:w="8799" w:type="dxa"/>
        <w:tblInd w:w="-72" w:type="dxa"/>
        <w:tblLayout w:type="fixed"/>
        <w:tblCellMar>
          <w:top w:w="0" w:type="dxa"/>
          <w:left w:w="108" w:type="dxa"/>
          <w:bottom w:w="0" w:type="dxa"/>
          <w:right w:w="108" w:type="dxa"/>
        </w:tblCellMar>
      </w:tblPr>
      <w:tblGrid>
        <w:gridCol w:w="995"/>
        <w:gridCol w:w="697"/>
        <w:gridCol w:w="6543"/>
        <w:gridCol w:w="564"/>
      </w:tblGrid>
      <w:tr>
        <w:tblPrEx>
          <w:tblLayout w:type="fixed"/>
          <w:tblCellMar>
            <w:top w:w="0" w:type="dxa"/>
            <w:left w:w="108" w:type="dxa"/>
            <w:bottom w:w="0" w:type="dxa"/>
            <w:right w:w="108" w:type="dxa"/>
          </w:tblCellMar>
        </w:tblPrEx>
        <w:trPr>
          <w:trHeight w:val="510" w:hRule="atLeast"/>
        </w:trPr>
        <w:tc>
          <w:tcPr>
            <w:tcW w:w="995" w:type="dxa"/>
            <w:tcBorders>
              <w:top w:val="single" w:color="auto" w:sz="6" w:space="0"/>
              <w:left w:val="single" w:color="auto" w:sz="6" w:space="0"/>
              <w:bottom w:val="single" w:color="auto" w:sz="6" w:space="0"/>
              <w:right w:val="single" w:color="auto" w:sz="6" w:space="0"/>
            </w:tcBorders>
            <w:noWrap w:val="0"/>
            <w:vAlign w:val="center"/>
          </w:tcPr>
          <w:p>
            <w:pPr>
              <w:spacing w:line="336" w:lineRule="auto"/>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类别</w:t>
            </w:r>
          </w:p>
        </w:tc>
        <w:tc>
          <w:tcPr>
            <w:tcW w:w="697" w:type="dxa"/>
            <w:tcBorders>
              <w:top w:val="single" w:color="auto" w:sz="6" w:space="0"/>
              <w:left w:val="single" w:color="auto" w:sz="6" w:space="0"/>
              <w:bottom w:val="single" w:color="auto" w:sz="6" w:space="0"/>
              <w:right w:val="single" w:color="auto" w:sz="6" w:space="0"/>
            </w:tcBorders>
            <w:noWrap w:val="0"/>
            <w:vAlign w:val="center"/>
          </w:tcPr>
          <w:p>
            <w:pPr>
              <w:spacing w:line="336" w:lineRule="auto"/>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序号</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spacing w:line="336" w:lineRule="auto"/>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事项</w:t>
            </w:r>
          </w:p>
        </w:tc>
        <w:tc>
          <w:tcPr>
            <w:tcW w:w="564" w:type="dxa"/>
            <w:tcBorders>
              <w:top w:val="single" w:color="auto" w:sz="6" w:space="0"/>
              <w:left w:val="single" w:color="auto" w:sz="6" w:space="0"/>
              <w:bottom w:val="single" w:color="auto" w:sz="6" w:space="0"/>
              <w:right w:val="single" w:color="auto" w:sz="6" w:space="0"/>
            </w:tcBorders>
            <w:noWrap w:val="0"/>
            <w:vAlign w:val="center"/>
          </w:tcPr>
          <w:p>
            <w:pPr>
              <w:spacing w:line="336" w:lineRule="auto"/>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级别</w:t>
            </w:r>
          </w:p>
        </w:tc>
      </w:tr>
      <w:tr>
        <w:tblPrEx>
          <w:tblLayout w:type="fixed"/>
          <w:tblCellMar>
            <w:top w:w="0" w:type="dxa"/>
            <w:left w:w="108" w:type="dxa"/>
            <w:bottom w:w="0" w:type="dxa"/>
            <w:right w:w="108" w:type="dxa"/>
          </w:tblCellMar>
        </w:tblPrEx>
        <w:trPr>
          <w:cantSplit/>
          <w:trHeight w:val="3045" w:hRule="atLeast"/>
        </w:trPr>
        <w:tc>
          <w:tcPr>
            <w:tcW w:w="995" w:type="dxa"/>
            <w:vMerge w:val="restart"/>
            <w:tcBorders>
              <w:top w:val="single" w:color="auto" w:sz="6" w:space="0"/>
              <w:left w:val="single" w:color="auto" w:sz="6" w:space="0"/>
              <w:right w:val="single" w:color="auto" w:sz="6" w:space="0"/>
            </w:tcBorders>
            <w:noWrap w:val="0"/>
            <w:vAlign w:val="center"/>
          </w:tcPr>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jc w:val="center"/>
              <w:rPr>
                <w:rFonts w:ascii="宋体" w:hAnsi="Calibri" w:eastAsia="宋体" w:cs="Times New Roman"/>
                <w:color w:val="auto"/>
                <w:sz w:val="24"/>
                <w:szCs w:val="24"/>
              </w:rPr>
            </w:pPr>
            <w:r>
              <w:rPr>
                <w:rFonts w:hint="eastAsia" w:ascii="宋体" w:hAnsi="宋体" w:eastAsia="宋体" w:cs="Times New Roman"/>
                <w:color w:val="auto"/>
                <w:sz w:val="24"/>
                <w:szCs w:val="24"/>
              </w:rPr>
              <w:t>教</w:t>
            </w: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jc w:val="center"/>
              <w:rPr>
                <w:rFonts w:ascii="宋体" w:hAnsi="Calibri" w:eastAsia="宋体" w:cs="Times New Roman"/>
                <w:color w:val="auto"/>
                <w:sz w:val="24"/>
                <w:szCs w:val="24"/>
              </w:rPr>
            </w:pPr>
            <w:r>
              <w:rPr>
                <w:rFonts w:hint="eastAsia" w:ascii="宋体" w:hAnsi="宋体" w:eastAsia="宋体" w:cs="Times New Roman"/>
                <w:color w:val="auto"/>
                <w:sz w:val="24"/>
                <w:szCs w:val="24"/>
              </w:rPr>
              <w:t>学</w:t>
            </w: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jc w:val="center"/>
              <w:rPr>
                <w:rFonts w:ascii="宋体" w:hAnsi="Calibri" w:eastAsia="宋体" w:cs="Times New Roman"/>
                <w:color w:val="auto"/>
                <w:sz w:val="24"/>
                <w:szCs w:val="24"/>
              </w:rPr>
            </w:pPr>
            <w:r>
              <w:rPr>
                <w:rFonts w:hint="eastAsia" w:ascii="宋体" w:hAnsi="宋体" w:eastAsia="宋体" w:cs="Times New Roman"/>
                <w:color w:val="auto"/>
                <w:sz w:val="24"/>
                <w:szCs w:val="24"/>
              </w:rPr>
              <w:t>教</w:t>
            </w: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jc w:val="center"/>
              <w:rPr>
                <w:rFonts w:ascii="宋体" w:hAnsi="Calibri" w:eastAsia="宋体" w:cs="Times New Roman"/>
                <w:color w:val="auto"/>
                <w:sz w:val="24"/>
                <w:szCs w:val="24"/>
              </w:rPr>
            </w:pPr>
            <w:r>
              <w:rPr>
                <w:rFonts w:hint="eastAsia" w:ascii="宋体" w:hAnsi="宋体" w:eastAsia="宋体" w:cs="Times New Roman"/>
                <w:color w:val="auto"/>
                <w:sz w:val="24"/>
                <w:szCs w:val="24"/>
              </w:rPr>
              <w:t>学</w:t>
            </w: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p>
            <w:pPr>
              <w:spacing w:line="336" w:lineRule="auto"/>
              <w:ind w:firstLine="480" w:firstLineChars="200"/>
              <w:jc w:val="center"/>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ascii="宋体" w:hAnsi="宋体" w:eastAsia="宋体" w:cs="Times New Roman"/>
                <w:color w:val="auto"/>
                <w:sz w:val="24"/>
                <w:szCs w:val="24"/>
              </w:rPr>
              <w:t>1-1</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shd w:val="clear" w:color="auto" w:fill="FFFFFF"/>
              </w:rPr>
              <w:t>未事先办理调课审批手续，擅自变动任课教师、上课时间和地点</w:t>
            </w:r>
            <w:r>
              <w:rPr>
                <w:rFonts w:hint="eastAsia" w:ascii="宋体" w:hAnsi="宋体" w:eastAsia="宋体" w:cs="Times New Roman"/>
                <w:color w:val="auto"/>
                <w:sz w:val="24"/>
                <w:szCs w:val="24"/>
              </w:rPr>
              <w:t>未按规定程序，擅自变动上课时间或请人代课</w:t>
            </w:r>
          </w:p>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※上课指教学安排的所有课程，包括理论、实践、机动、辅导等。（以下同）</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383"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ascii="宋体" w:hAnsi="宋体" w:eastAsia="宋体" w:cs="Times New Roman"/>
                <w:color w:val="auto"/>
                <w:sz w:val="24"/>
                <w:szCs w:val="24"/>
              </w:rPr>
              <w:t>1-2</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未按规定程序，擅自停课、缺课</w:t>
            </w:r>
            <w:r>
              <w:rPr>
                <w:rFonts w:ascii="宋体" w:hAnsi="宋体" w:eastAsia="宋体" w:cs="Times New Roman"/>
                <w:color w:val="auto"/>
                <w:sz w:val="24"/>
                <w:szCs w:val="24"/>
              </w:rPr>
              <w:t>—</w:t>
            </w:r>
            <w:r>
              <w:rPr>
                <w:rFonts w:hint="eastAsia" w:ascii="宋体" w:hAnsi="宋体" w:eastAsia="宋体" w:cs="Times New Roman"/>
                <w:color w:val="auto"/>
                <w:sz w:val="24"/>
                <w:szCs w:val="24"/>
              </w:rPr>
              <w:t>次</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766"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1-3</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擅自变更或不执行教学计划，教学进度</w:t>
            </w:r>
            <w:r>
              <w:rPr>
                <w:rFonts w:ascii="宋体" w:hAnsi="宋体" w:eastAsia="宋体" w:cs="Times New Roman"/>
                <w:color w:val="auto"/>
                <w:sz w:val="24"/>
                <w:szCs w:val="24"/>
              </w:rPr>
              <w:t>(</w:t>
            </w:r>
            <w:r>
              <w:rPr>
                <w:rFonts w:hint="eastAsia" w:ascii="宋体" w:hAnsi="宋体" w:eastAsia="宋体" w:cs="Times New Roman"/>
                <w:color w:val="auto"/>
                <w:sz w:val="24"/>
                <w:szCs w:val="24"/>
              </w:rPr>
              <w:t>内容</w:t>
            </w:r>
            <w:r>
              <w:rPr>
                <w:rFonts w:ascii="宋体" w:hAnsi="宋体" w:eastAsia="宋体" w:cs="Times New Roman"/>
                <w:color w:val="auto"/>
                <w:sz w:val="24"/>
                <w:szCs w:val="24"/>
              </w:rPr>
              <w:t>)</w:t>
            </w:r>
            <w:r>
              <w:rPr>
                <w:rFonts w:hint="eastAsia" w:ascii="宋体" w:hAnsi="宋体" w:eastAsia="宋体" w:cs="Times New Roman"/>
                <w:color w:val="auto"/>
                <w:sz w:val="24"/>
                <w:szCs w:val="24"/>
              </w:rPr>
              <w:t>与教学计划不一致，误差在</w:t>
            </w:r>
            <w:r>
              <w:rPr>
                <w:rFonts w:ascii="宋体" w:hAnsi="宋体" w:eastAsia="宋体" w:cs="Times New Roman"/>
                <w:color w:val="auto"/>
                <w:sz w:val="24"/>
                <w:szCs w:val="24"/>
              </w:rPr>
              <w:t>4</w:t>
            </w:r>
            <w:r>
              <w:rPr>
                <w:rFonts w:hint="eastAsia" w:ascii="宋体" w:hAnsi="宋体" w:eastAsia="宋体" w:cs="Times New Roman"/>
                <w:color w:val="auto"/>
                <w:sz w:val="24"/>
                <w:szCs w:val="24"/>
              </w:rPr>
              <w:t>节以上</w:t>
            </w:r>
            <w:r>
              <w:rPr>
                <w:rFonts w:ascii="宋体" w:hAnsi="宋体" w:eastAsia="宋体" w:cs="Times New Roman"/>
                <w:color w:val="auto"/>
                <w:sz w:val="24"/>
                <w:szCs w:val="24"/>
              </w:rPr>
              <w:t>(</w:t>
            </w:r>
            <w:r>
              <w:rPr>
                <w:rFonts w:hint="eastAsia" w:ascii="宋体" w:hAnsi="宋体" w:eastAsia="宋体" w:cs="Times New Roman"/>
                <w:color w:val="auto"/>
                <w:sz w:val="24"/>
                <w:szCs w:val="24"/>
              </w:rPr>
              <w:t>不含</w:t>
            </w:r>
            <w:r>
              <w:rPr>
                <w:rFonts w:ascii="宋体" w:hAnsi="宋体" w:eastAsia="宋体" w:cs="Times New Roman"/>
                <w:color w:val="auto"/>
                <w:sz w:val="24"/>
                <w:szCs w:val="24"/>
              </w:rPr>
              <w:t>4</w:t>
            </w:r>
            <w:r>
              <w:rPr>
                <w:rFonts w:hint="eastAsia" w:ascii="宋体" w:hAnsi="宋体" w:eastAsia="宋体" w:cs="Times New Roman"/>
                <w:color w:val="auto"/>
                <w:sz w:val="24"/>
                <w:szCs w:val="24"/>
              </w:rPr>
              <w:t>节</w:t>
            </w:r>
            <w:r>
              <w:rPr>
                <w:rFonts w:ascii="宋体" w:hAnsi="宋体" w:eastAsia="宋体" w:cs="Times New Roman"/>
                <w:color w:val="auto"/>
                <w:sz w:val="24"/>
                <w:szCs w:val="24"/>
              </w:rPr>
              <w:t>)</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tc>
      </w:tr>
      <w:tr>
        <w:tblPrEx>
          <w:tblLayout w:type="fixed"/>
          <w:tblCellMar>
            <w:top w:w="0" w:type="dxa"/>
            <w:left w:w="108" w:type="dxa"/>
            <w:bottom w:w="0" w:type="dxa"/>
            <w:right w:w="108" w:type="dxa"/>
          </w:tblCellMar>
        </w:tblPrEx>
        <w:trPr>
          <w:cantSplit/>
          <w:trHeight w:val="1109"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1-4</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不按规定时间</w:t>
            </w:r>
            <w:r>
              <w:rPr>
                <w:rFonts w:ascii="宋体" w:hAnsi="宋体" w:eastAsia="宋体" w:cs="Times New Roman"/>
                <w:color w:val="auto"/>
                <w:sz w:val="24"/>
                <w:szCs w:val="24"/>
              </w:rPr>
              <w:t>(</w:t>
            </w:r>
            <w:r>
              <w:rPr>
                <w:rFonts w:hint="eastAsia" w:ascii="宋体" w:hAnsi="宋体" w:eastAsia="宋体" w:cs="Times New Roman"/>
                <w:color w:val="auto"/>
                <w:sz w:val="24"/>
                <w:szCs w:val="24"/>
              </w:rPr>
              <w:t>开学第一周内</w:t>
            </w:r>
            <w:r>
              <w:rPr>
                <w:rFonts w:ascii="宋体" w:hAnsi="宋体" w:eastAsia="宋体" w:cs="Times New Roman"/>
                <w:color w:val="auto"/>
                <w:sz w:val="24"/>
                <w:szCs w:val="24"/>
              </w:rPr>
              <w:t>)</w:t>
            </w:r>
            <w:r>
              <w:rPr>
                <w:rFonts w:hint="eastAsia" w:ascii="宋体" w:hAnsi="宋体" w:eastAsia="宋体" w:cs="Times New Roman"/>
                <w:color w:val="auto"/>
                <w:sz w:val="24"/>
                <w:szCs w:val="24"/>
              </w:rPr>
              <w:t>上交授课计划</w:t>
            </w:r>
            <w:r>
              <w:rPr>
                <w:rFonts w:ascii="宋体" w:hAnsi="宋体" w:eastAsia="宋体" w:cs="Times New Roman"/>
                <w:color w:val="auto"/>
                <w:sz w:val="24"/>
                <w:szCs w:val="24"/>
              </w:rPr>
              <w:t>(</w:t>
            </w:r>
            <w:r>
              <w:rPr>
                <w:rFonts w:hint="eastAsia" w:ascii="宋体" w:hAnsi="宋体" w:eastAsia="宋体" w:cs="Times New Roman"/>
                <w:color w:val="auto"/>
                <w:sz w:val="24"/>
                <w:szCs w:val="24"/>
              </w:rPr>
              <w:t>迟交</w:t>
            </w:r>
            <w:r>
              <w:rPr>
                <w:rFonts w:ascii="宋体" w:hAnsi="宋体" w:eastAsia="宋体" w:cs="Times New Roman"/>
                <w:color w:val="auto"/>
                <w:sz w:val="24"/>
                <w:szCs w:val="24"/>
              </w:rPr>
              <w:t>2</w:t>
            </w:r>
            <w:r>
              <w:rPr>
                <w:rFonts w:hint="eastAsia" w:ascii="宋体" w:hAnsi="宋体" w:eastAsia="宋体" w:cs="Times New Roman"/>
                <w:color w:val="auto"/>
                <w:sz w:val="24"/>
                <w:szCs w:val="24"/>
              </w:rPr>
              <w:t>天以上</w:t>
            </w:r>
            <w:r>
              <w:rPr>
                <w:rFonts w:ascii="宋体" w:hAnsi="宋体" w:eastAsia="宋体" w:cs="Times New Roman"/>
                <w:color w:val="auto"/>
                <w:sz w:val="24"/>
                <w:szCs w:val="24"/>
              </w:rPr>
              <w:t>)</w:t>
            </w:r>
          </w:p>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授课计划迟交</w:t>
            </w:r>
            <w:r>
              <w:rPr>
                <w:rFonts w:ascii="宋体" w:hAnsi="宋体" w:eastAsia="宋体" w:cs="Times New Roman"/>
                <w:color w:val="auto"/>
                <w:sz w:val="24"/>
                <w:szCs w:val="24"/>
              </w:rPr>
              <w:t>1</w:t>
            </w:r>
            <w:r>
              <w:rPr>
                <w:rFonts w:hint="eastAsia" w:ascii="宋体" w:hAnsi="宋体" w:eastAsia="宋体" w:cs="Times New Roman"/>
                <w:color w:val="auto"/>
                <w:sz w:val="24"/>
                <w:szCs w:val="24"/>
              </w:rPr>
              <w:t>周以上，按拒不制订授课计划论处</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tc>
      </w:tr>
      <w:tr>
        <w:tblPrEx>
          <w:tblLayout w:type="fixed"/>
          <w:tblCellMar>
            <w:top w:w="0" w:type="dxa"/>
            <w:left w:w="108" w:type="dxa"/>
            <w:bottom w:w="0" w:type="dxa"/>
            <w:right w:w="108" w:type="dxa"/>
          </w:tblCellMar>
        </w:tblPrEx>
        <w:trPr>
          <w:cantSplit/>
          <w:trHeight w:val="507"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hint="eastAsia" w:ascii="宋体" w:hAnsi="宋体" w:eastAsia="宋体" w:cs="Times New Roman"/>
                <w:color w:val="auto"/>
                <w:sz w:val="24"/>
                <w:szCs w:val="24"/>
              </w:rPr>
              <w:t>1-5</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教龄</w:t>
            </w:r>
            <w:r>
              <w:rPr>
                <w:rFonts w:ascii="宋体" w:hAnsi="宋体" w:eastAsia="宋体" w:cs="Times New Roman"/>
                <w:color w:val="auto"/>
                <w:sz w:val="24"/>
                <w:szCs w:val="24"/>
              </w:rPr>
              <w:t>5</w:t>
            </w:r>
            <w:r>
              <w:rPr>
                <w:rFonts w:hint="eastAsia" w:ascii="宋体" w:hAnsi="宋体" w:eastAsia="宋体" w:cs="Times New Roman"/>
                <w:color w:val="auto"/>
                <w:sz w:val="24"/>
                <w:szCs w:val="24"/>
              </w:rPr>
              <w:t>年以内的教师无讲稿、无教案或使用旧教案</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1363"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hint="eastAsia" w:ascii="宋体" w:hAnsi="宋体" w:eastAsia="宋体" w:cs="Times New Roman"/>
                <w:color w:val="auto"/>
                <w:sz w:val="24"/>
                <w:szCs w:val="24"/>
              </w:rPr>
              <w:t>1-6</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非不可抗拒原因上课迟到：</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l</w:t>
            </w:r>
            <w:r>
              <w:rPr>
                <w:rFonts w:ascii="宋体" w:hAnsi="Calibri" w:eastAsia="宋体" w:cs="Times New Roman"/>
                <w:color w:val="auto"/>
                <w:sz w:val="24"/>
                <w:szCs w:val="24"/>
              </w:rPr>
              <w:t>.</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分钟以内</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2.10-20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超过</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r>
              <w:rPr>
                <w:rFonts w:hint="eastAsia" w:ascii="宋体" w:hAnsi="宋体" w:eastAsia="宋体" w:cs="Times New Roman"/>
                <w:color w:val="auto"/>
                <w:sz w:val="24"/>
                <w:szCs w:val="24"/>
              </w:rPr>
              <w:t>等同缺课</w:t>
            </w:r>
            <w:r>
              <w:rPr>
                <w:rFonts w:ascii="宋体" w:hAnsi="宋体" w:eastAsia="宋体" w:cs="Times New Roman"/>
                <w:color w:val="auto"/>
                <w:sz w:val="24"/>
                <w:szCs w:val="24"/>
              </w:rPr>
              <w:t>)</w:t>
            </w:r>
          </w:p>
        </w:tc>
        <w:tc>
          <w:tcPr>
            <w:tcW w:w="564"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jc w:val="center"/>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1972"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7</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提前下课：</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1.10</w:t>
            </w:r>
            <w:r>
              <w:rPr>
                <w:rFonts w:hint="eastAsia" w:ascii="宋体" w:hAnsi="宋体" w:eastAsia="宋体" w:cs="Times New Roman"/>
                <w:color w:val="auto"/>
                <w:sz w:val="24"/>
                <w:szCs w:val="24"/>
              </w:rPr>
              <w:t>分钟以内</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2.10—20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超过</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r>
              <w:rPr>
                <w:rFonts w:hint="eastAsia" w:ascii="宋体" w:hAnsi="宋体" w:eastAsia="宋体" w:cs="Times New Roman"/>
                <w:color w:val="auto"/>
                <w:sz w:val="24"/>
                <w:szCs w:val="24"/>
              </w:rPr>
              <w:t>等同缺课</w:t>
            </w:r>
            <w:r>
              <w:rPr>
                <w:rFonts w:ascii="宋体" w:hAnsi="宋体" w:eastAsia="宋体" w:cs="Times New Roman"/>
                <w:color w:val="auto"/>
                <w:sz w:val="24"/>
                <w:szCs w:val="24"/>
              </w:rPr>
              <w:t>)</w:t>
            </w:r>
          </w:p>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注：提前下课认定以学院铃声为准，其中实验课、体育课中途不休息者，可适当提前下课</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分钟以内</w:t>
            </w:r>
            <w:r>
              <w:rPr>
                <w:rFonts w:ascii="宋体" w:hAnsi="宋体" w:eastAsia="宋体" w:cs="Times New Roman"/>
                <w:color w:val="auto"/>
                <w:sz w:val="24"/>
                <w:szCs w:val="24"/>
              </w:rPr>
              <w:t>)</w:t>
            </w:r>
            <w:r>
              <w:rPr>
                <w:rFonts w:hint="eastAsia" w:ascii="宋体" w:hAnsi="宋体" w:eastAsia="宋体" w:cs="Times New Roman"/>
                <w:color w:val="auto"/>
                <w:sz w:val="24"/>
                <w:szCs w:val="24"/>
              </w:rPr>
              <w:t>。</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557"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hint="eastAsia" w:ascii="宋体" w:hAnsi="宋体" w:eastAsia="宋体" w:cs="Times New Roman"/>
                <w:color w:val="auto"/>
                <w:sz w:val="24"/>
                <w:szCs w:val="24"/>
              </w:rPr>
              <w:t>1-8</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宋体" w:eastAsia="宋体" w:cs="宋体"/>
                <w:bCs/>
                <w:color w:val="auto"/>
                <w:kern w:val="0"/>
                <w:sz w:val="24"/>
              </w:rPr>
            </w:pPr>
            <w:r>
              <w:rPr>
                <w:rFonts w:hint="eastAsia" w:ascii="宋体" w:hAnsi="宋体" w:eastAsia="宋体" w:cs="Times New Roman"/>
                <w:color w:val="auto"/>
                <w:sz w:val="24"/>
                <w:szCs w:val="24"/>
              </w:rPr>
              <w:t>作业题、复习题形式与内容超过</w:t>
            </w:r>
            <w:r>
              <w:rPr>
                <w:rFonts w:ascii="宋体" w:hAnsi="宋体" w:eastAsia="宋体" w:cs="Times New Roman"/>
                <w:color w:val="auto"/>
                <w:sz w:val="24"/>
                <w:szCs w:val="24"/>
              </w:rPr>
              <w:t>50</w:t>
            </w:r>
            <w:r>
              <w:rPr>
                <w:rFonts w:hint="eastAsia" w:ascii="宋体" w:hAnsi="宋体" w:eastAsia="宋体" w:cs="Times New Roman"/>
                <w:color w:val="auto"/>
                <w:sz w:val="24"/>
                <w:szCs w:val="24"/>
              </w:rPr>
              <w:t>％与考题相同</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hint="eastAsia" w:ascii="宋体" w:hAnsi="宋体" w:eastAsia="宋体" w:cs="Times New Roman"/>
                <w:color w:val="auto"/>
                <w:sz w:val="24"/>
                <w:szCs w:val="24"/>
              </w:rPr>
              <w:t>四</w:t>
            </w:r>
          </w:p>
        </w:tc>
      </w:tr>
      <w:tr>
        <w:tblPrEx>
          <w:tblLayout w:type="fixed"/>
          <w:tblCellMar>
            <w:top w:w="0" w:type="dxa"/>
            <w:left w:w="108" w:type="dxa"/>
            <w:bottom w:w="0" w:type="dxa"/>
            <w:right w:w="108" w:type="dxa"/>
          </w:tblCellMar>
        </w:tblPrEx>
        <w:trPr>
          <w:cantSplit/>
          <w:trHeight w:val="1138"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9</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教学准备</w:t>
            </w:r>
            <w:r>
              <w:rPr>
                <w:rFonts w:ascii="宋体" w:hAnsi="宋体" w:eastAsia="宋体" w:cs="Times New Roman"/>
                <w:color w:val="auto"/>
                <w:sz w:val="24"/>
                <w:szCs w:val="24"/>
              </w:rPr>
              <w:t>(</w:t>
            </w:r>
            <w:r>
              <w:rPr>
                <w:rFonts w:hint="eastAsia" w:ascii="宋体" w:hAnsi="宋体" w:eastAsia="宋体" w:cs="Times New Roman"/>
                <w:color w:val="auto"/>
                <w:sz w:val="24"/>
                <w:szCs w:val="24"/>
              </w:rPr>
              <w:t>含实验、实训准备</w:t>
            </w:r>
            <w:r>
              <w:rPr>
                <w:rFonts w:ascii="宋体" w:hAnsi="宋体" w:eastAsia="宋体" w:cs="Times New Roman"/>
                <w:color w:val="auto"/>
                <w:sz w:val="24"/>
                <w:szCs w:val="24"/>
              </w:rPr>
              <w:t>)</w:t>
            </w:r>
            <w:r>
              <w:rPr>
                <w:rFonts w:hint="eastAsia" w:ascii="宋体" w:hAnsi="宋体" w:eastAsia="宋体" w:cs="Times New Roman"/>
                <w:color w:val="auto"/>
                <w:sz w:val="24"/>
                <w:szCs w:val="24"/>
              </w:rPr>
              <w:t>未完成或准备错误，致使：</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教学或实验（实训）无法正常进行</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教学或实验（实训）延迟</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分钟以上</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58"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hint="eastAsia" w:ascii="宋体" w:hAnsi="宋体" w:eastAsia="宋体" w:cs="Times New Roman"/>
                <w:color w:val="auto"/>
                <w:sz w:val="24"/>
                <w:szCs w:val="24"/>
              </w:rPr>
              <w:t>1-10</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上课时，教师或教学指导人员擅离职守或指导失误：</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造成财产损失：</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 xml:space="preserve">   500—2000</w:t>
            </w:r>
            <w:r>
              <w:rPr>
                <w:rFonts w:hint="eastAsia" w:ascii="宋体" w:hAnsi="宋体" w:eastAsia="宋体" w:cs="Times New Roman"/>
                <w:color w:val="auto"/>
                <w:sz w:val="24"/>
                <w:szCs w:val="24"/>
              </w:rPr>
              <w:t>元</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 xml:space="preserve">   2000-5000</w:t>
            </w:r>
            <w:r>
              <w:rPr>
                <w:rFonts w:hint="eastAsia" w:ascii="宋体" w:hAnsi="宋体" w:eastAsia="宋体" w:cs="Times New Roman"/>
                <w:color w:val="auto"/>
                <w:sz w:val="24"/>
                <w:szCs w:val="24"/>
              </w:rPr>
              <w:t>元</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 xml:space="preserve">   5000</w:t>
            </w:r>
            <w:r>
              <w:rPr>
                <w:rFonts w:hint="eastAsia" w:ascii="宋体" w:hAnsi="宋体" w:eastAsia="宋体" w:cs="Times New Roman"/>
                <w:color w:val="auto"/>
                <w:sz w:val="24"/>
                <w:szCs w:val="24"/>
              </w:rPr>
              <w:t>元以上</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出现学生重大伤亡事故</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上课中途离开教室：</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 xml:space="preserve">   10</w:t>
            </w:r>
            <w:r>
              <w:rPr>
                <w:rFonts w:hint="eastAsia" w:ascii="宋体" w:hAnsi="宋体" w:eastAsia="宋体" w:cs="Times New Roman"/>
                <w:color w:val="auto"/>
                <w:sz w:val="24"/>
                <w:szCs w:val="24"/>
              </w:rPr>
              <w:t>分钟以内</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 xml:space="preserve">   10-20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840" w:firstLineChars="350"/>
              <w:rPr>
                <w:rFonts w:ascii="宋体" w:hAnsi="Calibri" w:eastAsia="宋体" w:cs="Times New Roman"/>
                <w:color w:val="auto"/>
                <w:sz w:val="24"/>
                <w:szCs w:val="24"/>
              </w:rPr>
            </w:pPr>
            <w:r>
              <w:rPr>
                <w:rFonts w:hint="eastAsia" w:ascii="宋体" w:hAnsi="宋体" w:eastAsia="宋体" w:cs="Times New Roman"/>
                <w:color w:val="auto"/>
                <w:sz w:val="24"/>
                <w:szCs w:val="24"/>
              </w:rPr>
              <w:t>超过</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p>
        </w:tc>
        <w:tc>
          <w:tcPr>
            <w:tcW w:w="564"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二</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一</w:t>
            </w:r>
          </w:p>
          <w:p>
            <w:pPr>
              <w:ind w:firstLine="480" w:firstLineChars="200"/>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485"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hint="eastAsia" w:ascii="宋体" w:hAnsi="宋体" w:eastAsia="宋体" w:cs="Times New Roman"/>
                <w:color w:val="auto"/>
                <w:sz w:val="24"/>
                <w:szCs w:val="24"/>
              </w:rPr>
              <w:t>1-11</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教师上课时拒绝管理部门安排人员听课</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tc>
      </w:tr>
      <w:tr>
        <w:tblPrEx>
          <w:tblLayout w:type="fixed"/>
          <w:tblCellMar>
            <w:top w:w="0" w:type="dxa"/>
            <w:left w:w="108" w:type="dxa"/>
            <w:bottom w:w="0" w:type="dxa"/>
            <w:right w:w="108" w:type="dxa"/>
          </w:tblCellMar>
        </w:tblPrEx>
        <w:trPr>
          <w:cantSplit/>
          <w:trHeight w:val="492"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12</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宋体" w:eastAsia="宋体" w:cs="宋体"/>
                <w:bCs/>
                <w:color w:val="auto"/>
                <w:kern w:val="0"/>
                <w:sz w:val="24"/>
              </w:rPr>
            </w:pPr>
            <w:r>
              <w:rPr>
                <w:rFonts w:hint="eastAsia" w:ascii="宋体" w:hAnsi="宋体" w:eastAsia="宋体" w:cs="宋体"/>
                <w:bCs/>
                <w:color w:val="auto"/>
                <w:kern w:val="0"/>
                <w:sz w:val="24"/>
              </w:rPr>
              <w:t>教师的形象（言行、举止、着装等）不符合职业形象</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383"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13</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教师存</w:t>
            </w:r>
            <w:r>
              <w:rPr>
                <w:rFonts w:hint="eastAsia" w:ascii="宋体" w:hAnsi="宋体" w:eastAsia="宋体" w:cs="宋体"/>
                <w:bCs/>
                <w:color w:val="auto"/>
                <w:kern w:val="0"/>
                <w:sz w:val="24"/>
              </w:rPr>
              <w:t>在课堂内接听手机、抽烟等不良行为</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747"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14</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宋体"/>
                <w:bCs/>
                <w:color w:val="auto"/>
                <w:kern w:val="0"/>
                <w:sz w:val="24"/>
              </w:rPr>
              <w:t>教师在日常教学活动中存在粗言秽语、讽刺挖苦学生的行为</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478"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15</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教师醉酒上课，影响授课质量</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471"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l</w:t>
            </w:r>
            <w:r>
              <w:rPr>
                <w:rFonts w:ascii="宋体" w:hAnsi="Calibri" w:eastAsia="宋体" w:cs="Times New Roman"/>
                <w:color w:val="auto"/>
                <w:sz w:val="24"/>
                <w:szCs w:val="24"/>
              </w:rPr>
              <w:t>-</w:t>
            </w:r>
            <w:r>
              <w:rPr>
                <w:rFonts w:ascii="宋体" w:hAnsi="宋体" w:eastAsia="宋体" w:cs="Times New Roman"/>
                <w:color w:val="auto"/>
                <w:sz w:val="24"/>
                <w:szCs w:val="24"/>
              </w:rPr>
              <w:t>1</w:t>
            </w:r>
            <w:r>
              <w:rPr>
                <w:rFonts w:hint="eastAsia" w:ascii="宋体" w:hAnsi="宋体" w:eastAsia="宋体" w:cs="Times New Roman"/>
                <w:color w:val="auto"/>
                <w:sz w:val="24"/>
                <w:szCs w:val="24"/>
              </w:rPr>
              <w:t>6</w:t>
            </w:r>
          </w:p>
        </w:tc>
        <w:tc>
          <w:tcPr>
            <w:tcW w:w="6543" w:type="dxa"/>
            <w:tcBorders>
              <w:top w:val="single" w:color="auto" w:sz="6"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在教学过程中殴打、辱骂学生、索取学生礼物</w:t>
            </w:r>
          </w:p>
        </w:tc>
        <w:tc>
          <w:tcPr>
            <w:tcW w:w="564" w:type="dxa"/>
            <w:tcBorders>
              <w:top w:val="single" w:color="auto" w:sz="6" w:space="0"/>
              <w:left w:val="single" w:color="auto" w:sz="6" w:space="0"/>
              <w:bottom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687" w:hRule="atLeast"/>
        </w:trPr>
        <w:tc>
          <w:tcPr>
            <w:tcW w:w="995" w:type="dxa"/>
            <w:vMerge w:val="continue"/>
            <w:tcBorders>
              <w:left w:val="single" w:color="auto" w:sz="6" w:space="0"/>
              <w:bottom w:val="single" w:color="auto" w:sz="4"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l</w:t>
            </w:r>
            <w:r>
              <w:rPr>
                <w:rFonts w:ascii="宋体" w:hAnsi="Calibri" w:eastAsia="宋体" w:cs="Times New Roman"/>
                <w:color w:val="auto"/>
                <w:sz w:val="24"/>
                <w:szCs w:val="24"/>
              </w:rPr>
              <w:t>-</w:t>
            </w:r>
            <w:r>
              <w:rPr>
                <w:rFonts w:ascii="宋体" w:hAnsi="宋体" w:eastAsia="宋体" w:cs="Times New Roman"/>
                <w:color w:val="auto"/>
                <w:sz w:val="24"/>
                <w:szCs w:val="24"/>
              </w:rPr>
              <w:t>1</w:t>
            </w:r>
            <w:r>
              <w:rPr>
                <w:rFonts w:hint="eastAsia" w:ascii="宋体" w:hAnsi="宋体" w:eastAsia="宋体" w:cs="Times New Roman"/>
                <w:color w:val="auto"/>
                <w:sz w:val="24"/>
                <w:szCs w:val="24"/>
              </w:rPr>
              <w:t>7</w:t>
            </w:r>
          </w:p>
        </w:tc>
        <w:tc>
          <w:tcPr>
            <w:tcW w:w="6543" w:type="dxa"/>
            <w:tcBorders>
              <w:top w:val="single" w:color="auto" w:sz="6" w:space="0"/>
              <w:left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在教学过程中散布违反中国共产党的方针政策言行</w:t>
            </w:r>
          </w:p>
        </w:tc>
        <w:tc>
          <w:tcPr>
            <w:tcW w:w="564" w:type="dxa"/>
            <w:tcBorders>
              <w:top w:val="single" w:color="auto" w:sz="6" w:space="0"/>
              <w:left w:val="single" w:color="auto" w:sz="6"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一</w:t>
            </w:r>
          </w:p>
        </w:tc>
      </w:tr>
      <w:tr>
        <w:tblPrEx>
          <w:tblLayout w:type="fixed"/>
          <w:tblCellMar>
            <w:top w:w="0" w:type="dxa"/>
            <w:left w:w="108" w:type="dxa"/>
            <w:bottom w:w="0" w:type="dxa"/>
            <w:right w:w="108" w:type="dxa"/>
          </w:tblCellMar>
        </w:tblPrEx>
        <w:trPr>
          <w:cantSplit/>
          <w:trHeight w:val="842" w:hRule="atLeast"/>
        </w:trPr>
        <w:tc>
          <w:tcPr>
            <w:tcW w:w="995" w:type="dxa"/>
            <w:tcBorders>
              <w:top w:val="single" w:color="auto" w:sz="4" w:space="0"/>
              <w:left w:val="single" w:color="auto" w:sz="6" w:space="0"/>
              <w:bottom w:val="single" w:color="auto" w:sz="4" w:space="0"/>
              <w:right w:val="single" w:color="auto" w:sz="6" w:space="0"/>
            </w:tcBorders>
            <w:noWrap w:val="0"/>
            <w:vAlign w:val="center"/>
          </w:tcPr>
          <w:p>
            <w:pPr>
              <w:spacing w:line="336" w:lineRule="auto"/>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类别</w:t>
            </w:r>
          </w:p>
        </w:tc>
        <w:tc>
          <w:tcPr>
            <w:tcW w:w="697" w:type="dxa"/>
            <w:tcBorders>
              <w:top w:val="single" w:color="auto" w:sz="4" w:space="0"/>
              <w:left w:val="single" w:color="auto" w:sz="6" w:space="0"/>
              <w:bottom w:val="single" w:color="auto" w:sz="6" w:space="0"/>
              <w:right w:val="single" w:color="auto" w:sz="6" w:space="0"/>
            </w:tcBorders>
            <w:noWrap w:val="0"/>
            <w:vAlign w:val="center"/>
          </w:tcPr>
          <w:p>
            <w:pPr>
              <w:spacing w:line="336" w:lineRule="auto"/>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序号</w:t>
            </w:r>
          </w:p>
        </w:tc>
        <w:tc>
          <w:tcPr>
            <w:tcW w:w="6543" w:type="dxa"/>
            <w:tcBorders>
              <w:top w:val="single" w:color="auto" w:sz="4" w:space="0"/>
              <w:left w:val="single" w:color="auto" w:sz="6" w:space="0"/>
              <w:bottom w:val="single" w:color="auto" w:sz="6" w:space="0"/>
              <w:right w:val="single" w:color="auto" w:sz="6" w:space="0"/>
            </w:tcBorders>
            <w:noWrap w:val="0"/>
            <w:vAlign w:val="center"/>
          </w:tcPr>
          <w:p>
            <w:pPr>
              <w:spacing w:line="336" w:lineRule="auto"/>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事项</w:t>
            </w:r>
          </w:p>
        </w:tc>
        <w:tc>
          <w:tcPr>
            <w:tcW w:w="564" w:type="dxa"/>
            <w:tcBorders>
              <w:top w:val="single" w:color="auto" w:sz="4" w:space="0"/>
              <w:left w:val="single" w:color="auto" w:sz="6" w:space="0"/>
              <w:bottom w:val="single" w:color="auto" w:sz="6" w:space="0"/>
              <w:right w:val="single" w:color="auto" w:sz="6" w:space="0"/>
            </w:tcBorders>
            <w:noWrap w:val="0"/>
            <w:vAlign w:val="center"/>
          </w:tcPr>
          <w:p>
            <w:pPr>
              <w:spacing w:line="336" w:lineRule="auto"/>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级别</w:t>
            </w:r>
          </w:p>
        </w:tc>
      </w:tr>
      <w:tr>
        <w:tblPrEx>
          <w:tblLayout w:type="fixed"/>
          <w:tblCellMar>
            <w:top w:w="0" w:type="dxa"/>
            <w:left w:w="108" w:type="dxa"/>
            <w:bottom w:w="0" w:type="dxa"/>
            <w:right w:w="108" w:type="dxa"/>
          </w:tblCellMar>
        </w:tblPrEx>
        <w:trPr>
          <w:cantSplit/>
          <w:trHeight w:val="2167" w:hRule="atLeast"/>
        </w:trPr>
        <w:tc>
          <w:tcPr>
            <w:tcW w:w="995" w:type="dxa"/>
            <w:vMerge w:val="restart"/>
            <w:tcBorders>
              <w:top w:val="single" w:color="auto" w:sz="4" w:space="0"/>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r>
              <w:rPr>
                <w:rFonts w:ascii="宋体" w:hAnsi="Calibri" w:eastAsia="宋体" w:cs="Times New Roman"/>
                <w:color w:val="auto"/>
                <w:sz w:val="24"/>
                <w:szCs w:val="24"/>
              </w:rPr>
              <w:t>J</w:t>
            </w:r>
            <w:r>
              <w:rPr>
                <w:rFonts w:hint="eastAsia" w:ascii="宋体" w:hAnsi="Calibri" w:eastAsia="宋体" w:cs="Times New Roman"/>
                <w:color w:val="auto"/>
                <w:sz w:val="24"/>
                <w:szCs w:val="24"/>
              </w:rPr>
              <w:t>教材</w:t>
            </w:r>
          </w:p>
        </w:tc>
        <w:tc>
          <w:tcPr>
            <w:tcW w:w="697" w:type="dxa"/>
            <w:tcBorders>
              <w:top w:val="single" w:color="auto" w:sz="4" w:space="0"/>
              <w:left w:val="single" w:color="auto" w:sz="6" w:space="0"/>
              <w:bottom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2-1</w:t>
            </w:r>
          </w:p>
        </w:tc>
        <w:tc>
          <w:tcPr>
            <w:tcW w:w="6543" w:type="dxa"/>
            <w:tcBorders>
              <w:top w:val="single" w:color="auto" w:sz="4"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无特殊原因，教材管理人员未能按规定及时订购或班主任未能按规定领发教材</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错发、误发教材</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造成开课</w:t>
            </w:r>
            <w:r>
              <w:rPr>
                <w:rFonts w:ascii="宋体" w:hAnsi="宋体" w:eastAsia="宋体" w:cs="Times New Roman"/>
                <w:color w:val="auto"/>
                <w:sz w:val="24"/>
                <w:szCs w:val="24"/>
              </w:rPr>
              <w:t>1</w:t>
            </w:r>
            <w:r>
              <w:rPr>
                <w:rFonts w:hint="eastAsia" w:ascii="宋体" w:hAnsi="宋体" w:eastAsia="宋体" w:cs="Times New Roman"/>
                <w:color w:val="auto"/>
                <w:sz w:val="24"/>
                <w:szCs w:val="24"/>
              </w:rPr>
              <w:t>周内既无教材又无补救措施</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造成开课</w:t>
            </w:r>
            <w:r>
              <w:rPr>
                <w:rFonts w:ascii="宋体" w:hAnsi="宋体" w:eastAsia="宋体" w:cs="Times New Roman"/>
                <w:color w:val="auto"/>
                <w:sz w:val="24"/>
                <w:szCs w:val="24"/>
              </w:rPr>
              <w:t>1</w:t>
            </w:r>
            <w:r>
              <w:rPr>
                <w:rFonts w:hint="eastAsia" w:ascii="宋体" w:hAnsi="宋体" w:eastAsia="宋体" w:cs="Times New Roman"/>
                <w:color w:val="auto"/>
                <w:sz w:val="24"/>
                <w:szCs w:val="24"/>
              </w:rPr>
              <w:t>周后仍无教材又无补救措施</w:t>
            </w:r>
          </w:p>
        </w:tc>
        <w:tc>
          <w:tcPr>
            <w:tcW w:w="564" w:type="dxa"/>
            <w:tcBorders>
              <w:top w:val="single" w:color="auto" w:sz="4" w:space="0"/>
              <w:left w:val="single" w:color="auto" w:sz="6" w:space="0"/>
              <w:bottom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3159" w:hRule="atLeast"/>
        </w:trPr>
        <w:tc>
          <w:tcPr>
            <w:tcW w:w="995" w:type="dxa"/>
            <w:vMerge w:val="continue"/>
            <w:tcBorders>
              <w:left w:val="single" w:color="auto" w:sz="6" w:space="0"/>
              <w:right w:val="single" w:color="auto" w:sz="6" w:space="0"/>
            </w:tcBorders>
            <w:noWrap w:val="0"/>
            <w:vAlign w:val="center"/>
          </w:tcPr>
          <w:p>
            <w:pPr>
              <w:spacing w:line="336" w:lineRule="auto"/>
              <w:ind w:firstLine="480" w:firstLineChars="200"/>
              <w:rPr>
                <w:rFonts w:ascii="宋体" w:hAnsi="Calibri" w:eastAsia="宋体" w:cs="Times New Roman"/>
                <w:color w:val="auto"/>
                <w:sz w:val="24"/>
                <w:szCs w:val="24"/>
              </w:rPr>
            </w:pPr>
          </w:p>
        </w:tc>
        <w:tc>
          <w:tcPr>
            <w:tcW w:w="697" w:type="dxa"/>
            <w:tcBorders>
              <w:top w:val="single" w:color="auto" w:sz="6" w:space="0"/>
              <w:left w:val="single" w:color="auto" w:sz="6"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2-2</w:t>
            </w:r>
          </w:p>
        </w:tc>
        <w:tc>
          <w:tcPr>
            <w:tcW w:w="6543" w:type="dxa"/>
            <w:tcBorders>
              <w:top w:val="single" w:color="auto" w:sz="6" w:space="0"/>
              <w:left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当年不按计划购置教材造成损失</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1.200-2000</w:t>
            </w:r>
            <w:r>
              <w:rPr>
                <w:rFonts w:hint="eastAsia" w:ascii="宋体" w:hAnsi="宋体" w:eastAsia="宋体" w:cs="Times New Roman"/>
                <w:color w:val="auto"/>
                <w:sz w:val="24"/>
                <w:szCs w:val="24"/>
              </w:rPr>
              <w:t>元</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2000</w:t>
            </w:r>
            <w:r>
              <w:rPr>
                <w:rFonts w:hint="eastAsia" w:ascii="宋体" w:hAnsi="宋体" w:eastAsia="宋体" w:cs="Times New Roman"/>
                <w:color w:val="auto"/>
                <w:sz w:val="24"/>
                <w:szCs w:val="24"/>
              </w:rPr>
              <w:t>元</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2.2000-5000</w:t>
            </w:r>
            <w:r>
              <w:rPr>
                <w:rFonts w:hint="eastAsia" w:ascii="宋体" w:hAnsi="宋体" w:eastAsia="宋体" w:cs="Times New Roman"/>
                <w:color w:val="auto"/>
                <w:sz w:val="24"/>
                <w:szCs w:val="24"/>
              </w:rPr>
              <w:t>元</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5000</w:t>
            </w:r>
            <w:r>
              <w:rPr>
                <w:rFonts w:hint="eastAsia" w:ascii="宋体" w:hAnsi="宋体" w:eastAsia="宋体" w:cs="Times New Roman"/>
                <w:color w:val="auto"/>
                <w:sz w:val="24"/>
                <w:szCs w:val="24"/>
              </w:rPr>
              <w:t>元</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3.5000-10000</w:t>
            </w:r>
            <w:r>
              <w:rPr>
                <w:rFonts w:hint="eastAsia" w:ascii="宋体" w:hAnsi="宋体" w:eastAsia="宋体" w:cs="Times New Roman"/>
                <w:color w:val="auto"/>
                <w:sz w:val="24"/>
                <w:szCs w:val="24"/>
              </w:rPr>
              <w:t>元</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10000</w:t>
            </w:r>
            <w:r>
              <w:rPr>
                <w:rFonts w:hint="eastAsia" w:ascii="宋体" w:hAnsi="宋体" w:eastAsia="宋体" w:cs="Times New Roman"/>
                <w:color w:val="auto"/>
                <w:sz w:val="24"/>
                <w:szCs w:val="24"/>
              </w:rPr>
              <w:t>元</w:t>
            </w:r>
            <w:r>
              <w:rPr>
                <w:rFonts w:ascii="宋体" w:hAnsi="宋体" w:eastAsia="宋体" w:cs="Times New Roman"/>
                <w:color w:val="auto"/>
                <w:sz w:val="24"/>
                <w:szCs w:val="24"/>
              </w:rPr>
              <w:t>)</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4.10000</w:t>
            </w:r>
            <w:r>
              <w:rPr>
                <w:rFonts w:hint="eastAsia" w:ascii="宋体" w:hAnsi="宋体" w:eastAsia="宋体" w:cs="Times New Roman"/>
                <w:color w:val="auto"/>
                <w:sz w:val="24"/>
                <w:szCs w:val="24"/>
              </w:rPr>
              <w:t>元以上</w:t>
            </w:r>
          </w:p>
        </w:tc>
        <w:tc>
          <w:tcPr>
            <w:tcW w:w="564" w:type="dxa"/>
            <w:tcBorders>
              <w:top w:val="single" w:color="auto" w:sz="6" w:space="0"/>
              <w:left w:val="single" w:color="auto" w:sz="6" w:space="0"/>
              <w:right w:val="single" w:color="auto" w:sz="6" w:space="0"/>
            </w:tcBorders>
            <w:noWrap w:val="0"/>
            <w:vAlign w:val="center"/>
          </w:tcPr>
          <w:p>
            <w:pPr>
              <w:ind w:firstLine="480" w:firstLineChars="200"/>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二</w:t>
            </w:r>
          </w:p>
        </w:tc>
      </w:tr>
      <w:tr>
        <w:tblPrEx>
          <w:tblLayout w:type="fixed"/>
          <w:tblCellMar>
            <w:top w:w="0" w:type="dxa"/>
            <w:left w:w="108" w:type="dxa"/>
            <w:bottom w:w="0" w:type="dxa"/>
            <w:right w:w="108" w:type="dxa"/>
          </w:tblCellMar>
        </w:tblPrEx>
        <w:trPr>
          <w:cantSplit/>
          <w:trHeight w:val="74" w:hRule="atLeast"/>
        </w:trPr>
        <w:tc>
          <w:tcPr>
            <w:tcW w:w="995" w:type="dxa"/>
            <w:vMerge w:val="continue"/>
            <w:tcBorders>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p>
        </w:tc>
        <w:tc>
          <w:tcPr>
            <w:tcW w:w="697" w:type="dxa"/>
            <w:tcBorders>
              <w:left w:val="single" w:color="auto" w:sz="6" w:space="0"/>
              <w:bottom w:val="single" w:color="auto" w:sz="4" w:space="0"/>
              <w:right w:val="single" w:color="auto" w:sz="6" w:space="0"/>
            </w:tcBorders>
            <w:noWrap w:val="0"/>
            <w:vAlign w:val="center"/>
          </w:tcPr>
          <w:p>
            <w:pPr>
              <w:rPr>
                <w:rFonts w:ascii="宋体" w:hAnsi="Calibri" w:eastAsia="宋体" w:cs="Times New Roman"/>
                <w:color w:val="auto"/>
                <w:sz w:val="24"/>
                <w:szCs w:val="24"/>
              </w:rPr>
            </w:pPr>
          </w:p>
        </w:tc>
        <w:tc>
          <w:tcPr>
            <w:tcW w:w="6543" w:type="dxa"/>
            <w:tcBorders>
              <w:left w:val="single" w:color="auto" w:sz="6" w:space="0"/>
              <w:bottom w:val="single" w:color="auto" w:sz="4" w:space="0"/>
              <w:right w:val="single" w:color="auto" w:sz="6" w:space="0"/>
            </w:tcBorders>
            <w:noWrap w:val="0"/>
            <w:vAlign w:val="center"/>
          </w:tcPr>
          <w:p>
            <w:pPr>
              <w:rPr>
                <w:rFonts w:ascii="宋体" w:hAnsi="Calibri" w:eastAsia="宋体" w:cs="Times New Roman"/>
                <w:color w:val="auto"/>
                <w:sz w:val="24"/>
                <w:szCs w:val="24"/>
              </w:rPr>
            </w:pPr>
          </w:p>
        </w:tc>
        <w:tc>
          <w:tcPr>
            <w:tcW w:w="564" w:type="dxa"/>
            <w:tcBorders>
              <w:left w:val="single" w:color="auto" w:sz="6" w:space="0"/>
              <w:bottom w:val="single" w:color="auto" w:sz="4" w:space="0"/>
              <w:right w:val="single" w:color="auto" w:sz="6" w:space="0"/>
            </w:tcBorders>
            <w:noWrap w:val="0"/>
            <w:vAlign w:val="center"/>
          </w:tcPr>
          <w:p>
            <w:pPr>
              <w:rPr>
                <w:rFonts w:ascii="宋体" w:hAnsi="Calibri" w:eastAsia="宋体" w:cs="Times New Roman"/>
                <w:color w:val="auto"/>
                <w:sz w:val="24"/>
                <w:szCs w:val="24"/>
              </w:rPr>
            </w:pPr>
          </w:p>
        </w:tc>
      </w:tr>
    </w:tbl>
    <w:p>
      <w:pPr>
        <w:rPr>
          <w:rFonts w:ascii="宋体" w:hAnsi="Calibri" w:eastAsia="宋体" w:cs="Times New Roman"/>
          <w:color w:val="auto"/>
          <w:spacing w:val="10"/>
          <w:sz w:val="24"/>
          <w:szCs w:val="24"/>
        </w:rPr>
      </w:pPr>
    </w:p>
    <w:p>
      <w:pPr>
        <w:widowControl/>
        <w:jc w:val="left"/>
        <w:rPr>
          <w:rFonts w:ascii="宋体" w:hAnsi="Calibri" w:eastAsia="宋体" w:cs="Times New Roman"/>
          <w:color w:val="auto"/>
          <w:spacing w:val="10"/>
          <w:sz w:val="24"/>
          <w:szCs w:val="24"/>
        </w:rPr>
      </w:pPr>
    </w:p>
    <w:tbl>
      <w:tblPr>
        <w:tblStyle w:val="16"/>
        <w:tblW w:w="8878" w:type="dxa"/>
        <w:tblInd w:w="-252" w:type="dxa"/>
        <w:tblLayout w:type="fixed"/>
        <w:tblCellMar>
          <w:top w:w="0" w:type="dxa"/>
          <w:left w:w="108" w:type="dxa"/>
          <w:bottom w:w="0" w:type="dxa"/>
          <w:right w:w="108" w:type="dxa"/>
        </w:tblCellMar>
      </w:tblPr>
      <w:tblGrid>
        <w:gridCol w:w="570"/>
        <w:gridCol w:w="631"/>
        <w:gridCol w:w="7107"/>
        <w:gridCol w:w="570"/>
      </w:tblGrid>
      <w:tr>
        <w:tblPrEx>
          <w:tblLayout w:type="fixed"/>
          <w:tblCellMar>
            <w:top w:w="0" w:type="dxa"/>
            <w:left w:w="108" w:type="dxa"/>
            <w:bottom w:w="0" w:type="dxa"/>
            <w:right w:w="108" w:type="dxa"/>
          </w:tblCellMar>
        </w:tblPrEx>
        <w:trPr>
          <w:cantSplit/>
          <w:trHeight w:val="424" w:hRule="atLeast"/>
        </w:trPr>
        <w:tc>
          <w:tcPr>
            <w:tcW w:w="570" w:type="dxa"/>
            <w:tcBorders>
              <w:top w:val="single" w:color="auto" w:sz="6" w:space="0"/>
              <w:left w:val="single" w:color="auto" w:sz="6" w:space="0"/>
              <w:bottom w:val="single" w:color="auto" w:sz="6" w:space="0"/>
              <w:right w:val="single" w:color="auto" w:sz="6" w:space="0"/>
            </w:tcBorders>
            <w:noWrap w:val="0"/>
            <w:vAlign w:val="center"/>
          </w:tcPr>
          <w:p>
            <w:pPr>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类别</w:t>
            </w:r>
          </w:p>
        </w:tc>
        <w:tc>
          <w:tcPr>
            <w:tcW w:w="631" w:type="dxa"/>
            <w:tcBorders>
              <w:top w:val="single" w:color="auto" w:sz="6" w:space="0"/>
              <w:left w:val="single" w:color="auto" w:sz="6" w:space="0"/>
              <w:bottom w:val="single" w:color="auto" w:sz="6" w:space="0"/>
              <w:right w:val="single" w:color="auto" w:sz="6" w:space="0"/>
            </w:tcBorders>
            <w:noWrap w:val="0"/>
            <w:vAlign w:val="center"/>
          </w:tcPr>
          <w:p>
            <w:pPr>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序号</w:t>
            </w:r>
          </w:p>
        </w:tc>
        <w:tc>
          <w:tcPr>
            <w:tcW w:w="7107" w:type="dxa"/>
            <w:tcBorders>
              <w:top w:val="single" w:color="auto" w:sz="6" w:space="0"/>
              <w:left w:val="single" w:color="auto" w:sz="6" w:space="0"/>
              <w:bottom w:val="single" w:color="auto" w:sz="6" w:space="0"/>
              <w:right w:val="single" w:color="auto" w:sz="6" w:space="0"/>
            </w:tcBorders>
            <w:noWrap w:val="0"/>
            <w:vAlign w:val="center"/>
          </w:tcPr>
          <w:p>
            <w:pPr>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事项</w:t>
            </w:r>
          </w:p>
        </w:tc>
        <w:tc>
          <w:tcPr>
            <w:tcW w:w="570" w:type="dxa"/>
            <w:tcBorders>
              <w:top w:val="single" w:color="auto" w:sz="6" w:space="0"/>
              <w:left w:val="single" w:color="auto" w:sz="6" w:space="0"/>
              <w:bottom w:val="single" w:color="auto" w:sz="6" w:space="0"/>
              <w:right w:val="single" w:color="auto" w:sz="6" w:space="0"/>
            </w:tcBorders>
            <w:noWrap w:val="0"/>
            <w:vAlign w:val="center"/>
          </w:tcPr>
          <w:p>
            <w:pPr>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级别</w:t>
            </w:r>
          </w:p>
        </w:tc>
      </w:tr>
      <w:tr>
        <w:tblPrEx>
          <w:tblLayout w:type="fixed"/>
          <w:tblCellMar>
            <w:top w:w="0" w:type="dxa"/>
            <w:left w:w="108" w:type="dxa"/>
            <w:bottom w:w="0" w:type="dxa"/>
            <w:right w:w="108" w:type="dxa"/>
          </w:tblCellMar>
        </w:tblPrEx>
        <w:trPr>
          <w:cantSplit/>
          <w:trHeight w:val="367" w:hRule="atLeast"/>
        </w:trPr>
        <w:tc>
          <w:tcPr>
            <w:tcW w:w="570" w:type="dxa"/>
            <w:vMerge w:val="restart"/>
            <w:tcBorders>
              <w:top w:val="single" w:color="auto" w:sz="6" w:space="0"/>
              <w:left w:val="single" w:color="auto" w:sz="6" w:space="0"/>
              <w:right w:val="single" w:color="auto" w:sz="6" w:space="0"/>
            </w:tcBorders>
            <w:noWrap w:val="0"/>
            <w:vAlign w:val="center"/>
          </w:tcPr>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jc w:val="center"/>
              <w:rPr>
                <w:rFonts w:ascii="宋体" w:hAnsi="Calibri" w:eastAsia="宋体" w:cs="Times New Roman"/>
                <w:color w:val="auto"/>
                <w:sz w:val="24"/>
                <w:szCs w:val="24"/>
              </w:rPr>
            </w:pPr>
            <w:r>
              <w:rPr>
                <w:rFonts w:hint="eastAsia" w:ascii="宋体" w:hAnsi="宋体" w:eastAsia="宋体" w:cs="Times New Roman"/>
                <w:color w:val="auto"/>
                <w:spacing w:val="-1"/>
                <w:sz w:val="24"/>
                <w:szCs w:val="24"/>
              </w:rPr>
              <w:t>考</w:t>
            </w:r>
          </w:p>
          <w:p>
            <w:pPr>
              <w:ind w:firstLine="476" w:firstLineChars="200"/>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试</w:t>
            </w:r>
          </w:p>
          <w:p>
            <w:pPr>
              <w:ind w:firstLine="476" w:firstLineChars="200"/>
              <w:jc w:val="center"/>
              <w:rPr>
                <w:rFonts w:ascii="宋体" w:hAnsi="Calibri" w:eastAsia="宋体" w:cs="Times New Roman"/>
                <w:color w:val="auto"/>
                <w:spacing w:val="-1"/>
                <w:sz w:val="24"/>
                <w:szCs w:val="24"/>
              </w:rPr>
            </w:pPr>
          </w:p>
          <w:p>
            <w:pPr>
              <w:ind w:firstLine="480" w:firstLineChars="200"/>
              <w:jc w:val="center"/>
              <w:rPr>
                <w:rFonts w:ascii="宋体" w:hAnsi="Calibri" w:eastAsia="宋体" w:cs="Times New Roman"/>
                <w:color w:val="auto"/>
                <w:sz w:val="24"/>
                <w:szCs w:val="24"/>
              </w:rPr>
            </w:pPr>
          </w:p>
        </w:tc>
        <w:tc>
          <w:tcPr>
            <w:tcW w:w="631"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z w:val="24"/>
                <w:szCs w:val="24"/>
              </w:rPr>
            </w:pPr>
            <w:r>
              <w:rPr>
                <w:rFonts w:ascii="宋体" w:hAnsi="宋体" w:eastAsia="宋体" w:cs="Times New Roman"/>
                <w:color w:val="auto"/>
                <w:spacing w:val="-1"/>
                <w:sz w:val="24"/>
                <w:szCs w:val="24"/>
              </w:rPr>
              <w:t>3-1</w:t>
            </w:r>
          </w:p>
        </w:tc>
        <w:tc>
          <w:tcPr>
            <w:tcW w:w="7107"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宋体"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教师不按规定时间上交考试题：</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1.</w:t>
            </w:r>
            <w:r>
              <w:rPr>
                <w:rFonts w:hint="eastAsia" w:ascii="宋体" w:hAnsi="宋体" w:eastAsia="宋体" w:cs="Times New Roman"/>
                <w:color w:val="auto"/>
                <w:spacing w:val="-1"/>
                <w:sz w:val="24"/>
                <w:szCs w:val="24"/>
              </w:rPr>
              <w:t>迟交</w:t>
            </w:r>
            <w:r>
              <w:rPr>
                <w:rFonts w:ascii="宋体" w:hAnsi="宋体" w:eastAsia="宋体" w:cs="Times New Roman"/>
                <w:color w:val="auto"/>
                <w:spacing w:val="-1"/>
                <w:sz w:val="24"/>
                <w:szCs w:val="24"/>
              </w:rPr>
              <w:t>3</w:t>
            </w:r>
            <w:r>
              <w:rPr>
                <w:rFonts w:hint="eastAsia" w:ascii="宋体" w:hAnsi="宋体" w:eastAsia="宋体" w:cs="Times New Roman"/>
                <w:color w:val="auto"/>
                <w:spacing w:val="-1"/>
                <w:sz w:val="24"/>
                <w:szCs w:val="24"/>
              </w:rPr>
              <w:t>天以内，尚未影响考试进行</w:t>
            </w:r>
          </w:p>
          <w:p>
            <w:pPr>
              <w:ind w:firstLine="476" w:firstLineChars="200"/>
              <w:rPr>
                <w:rFonts w:ascii="宋体" w:hAnsi="Calibri" w:eastAsia="宋体" w:cs="Times New Roman"/>
                <w:color w:val="auto"/>
                <w:sz w:val="24"/>
                <w:szCs w:val="24"/>
              </w:rPr>
            </w:pPr>
            <w:r>
              <w:rPr>
                <w:rFonts w:ascii="宋体" w:hAnsi="宋体" w:eastAsia="宋体" w:cs="Times New Roman"/>
                <w:color w:val="auto"/>
                <w:spacing w:val="-1"/>
                <w:sz w:val="24"/>
                <w:szCs w:val="24"/>
              </w:rPr>
              <w:t>2.</w:t>
            </w:r>
            <w:r>
              <w:rPr>
                <w:rFonts w:hint="eastAsia" w:ascii="宋体" w:hAnsi="宋体" w:eastAsia="宋体" w:cs="Times New Roman"/>
                <w:color w:val="auto"/>
                <w:spacing w:val="-1"/>
                <w:sz w:val="24"/>
                <w:szCs w:val="24"/>
              </w:rPr>
              <w:t>因迟交造成考试延迟</w:t>
            </w:r>
          </w:p>
        </w:tc>
        <w:tc>
          <w:tcPr>
            <w:tcW w:w="570"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pacing w:val="-1"/>
                <w:sz w:val="24"/>
                <w:szCs w:val="24"/>
              </w:rPr>
              <w:t>四</w:t>
            </w:r>
          </w:p>
        </w:tc>
      </w:tr>
      <w:tr>
        <w:tblPrEx>
          <w:tblLayout w:type="fixed"/>
          <w:tblCellMar>
            <w:top w:w="0" w:type="dxa"/>
            <w:left w:w="108" w:type="dxa"/>
            <w:bottom w:w="0" w:type="dxa"/>
            <w:right w:w="108" w:type="dxa"/>
          </w:tblCellMar>
        </w:tblPrEx>
        <w:trPr>
          <w:cantSplit/>
          <w:trHeight w:val="3025" w:hRule="atLeast"/>
        </w:trPr>
        <w:tc>
          <w:tcPr>
            <w:tcW w:w="570" w:type="dxa"/>
            <w:vMerge w:val="continue"/>
            <w:tcBorders>
              <w:left w:val="single" w:color="auto" w:sz="6" w:space="0"/>
              <w:right w:val="single" w:color="auto" w:sz="6" w:space="0"/>
            </w:tcBorders>
            <w:noWrap w:val="0"/>
            <w:vAlign w:val="top"/>
          </w:tcPr>
          <w:p>
            <w:pPr>
              <w:ind w:firstLine="480" w:firstLineChars="200"/>
              <w:rPr>
                <w:rFonts w:ascii="宋体" w:hAnsi="Calibri" w:eastAsia="宋体" w:cs="Times New Roman"/>
                <w:color w:val="auto"/>
                <w:sz w:val="24"/>
                <w:szCs w:val="24"/>
              </w:rPr>
            </w:pPr>
          </w:p>
        </w:tc>
        <w:tc>
          <w:tcPr>
            <w:tcW w:w="631"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rPr>
                <w:rFonts w:ascii="宋体" w:hAnsi="宋体" w:eastAsia="宋体" w:cs="Times New Roman"/>
                <w:color w:val="auto"/>
                <w:spacing w:val="-1"/>
                <w:sz w:val="24"/>
                <w:szCs w:val="24"/>
              </w:rPr>
            </w:pPr>
            <w:r>
              <w:rPr>
                <w:rFonts w:ascii="宋体" w:hAnsi="宋体" w:eastAsia="宋体" w:cs="Times New Roman"/>
                <w:color w:val="auto"/>
                <w:spacing w:val="-1"/>
                <w:sz w:val="24"/>
                <w:szCs w:val="24"/>
              </w:rPr>
              <w:t>3-2</w:t>
            </w:r>
          </w:p>
          <w:p>
            <w:pPr>
              <w:ind w:firstLine="480" w:firstLineChars="200"/>
              <w:rPr>
                <w:rFonts w:ascii="宋体" w:hAnsi="Calibri" w:eastAsia="宋体" w:cs="Times New Roman"/>
                <w:color w:val="auto"/>
                <w:sz w:val="24"/>
                <w:szCs w:val="24"/>
              </w:rPr>
            </w:pPr>
          </w:p>
        </w:tc>
        <w:tc>
          <w:tcPr>
            <w:tcW w:w="7107"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监考时，监考人员：</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1.</w:t>
            </w:r>
            <w:r>
              <w:rPr>
                <w:rFonts w:hint="eastAsia" w:ascii="宋体" w:hAnsi="宋体" w:eastAsia="宋体" w:cs="Times New Roman"/>
                <w:color w:val="auto"/>
                <w:spacing w:val="-1"/>
                <w:sz w:val="24"/>
                <w:szCs w:val="24"/>
              </w:rPr>
              <w:t>迟到或早退</w:t>
            </w:r>
            <w:r>
              <w:rPr>
                <w:rFonts w:ascii="宋体" w:hAnsi="宋体" w:eastAsia="宋体" w:cs="Times New Roman"/>
                <w:color w:val="auto"/>
                <w:spacing w:val="-1"/>
                <w:sz w:val="24"/>
                <w:szCs w:val="24"/>
              </w:rPr>
              <w:t>5</w:t>
            </w:r>
            <w:r>
              <w:rPr>
                <w:rFonts w:hint="eastAsia" w:ascii="宋体" w:hAnsi="宋体" w:eastAsia="宋体" w:cs="Times New Roman"/>
                <w:color w:val="auto"/>
                <w:spacing w:val="-1"/>
                <w:sz w:val="24"/>
                <w:szCs w:val="24"/>
              </w:rPr>
              <w:t>分钟以内</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含</w:t>
            </w:r>
            <w:r>
              <w:rPr>
                <w:rFonts w:ascii="宋体" w:hAnsi="宋体" w:eastAsia="宋体" w:cs="Times New Roman"/>
                <w:color w:val="auto"/>
                <w:spacing w:val="-1"/>
                <w:sz w:val="24"/>
                <w:szCs w:val="24"/>
              </w:rPr>
              <w:t>5</w:t>
            </w:r>
            <w:r>
              <w:rPr>
                <w:rFonts w:hint="eastAsia" w:ascii="宋体" w:hAnsi="宋体" w:eastAsia="宋体" w:cs="Times New Roman"/>
                <w:color w:val="auto"/>
                <w:spacing w:val="-1"/>
                <w:sz w:val="24"/>
                <w:szCs w:val="24"/>
              </w:rPr>
              <w:t>分钟</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：在考场内吸烟、看报纸等；做与监考无关的事情：擅自请人代监考或擅自交换监考考场的。</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2.</w:t>
            </w:r>
            <w:r>
              <w:rPr>
                <w:rFonts w:hint="eastAsia" w:ascii="宋体" w:hAnsi="宋体" w:eastAsia="宋体" w:cs="Times New Roman"/>
                <w:color w:val="auto"/>
                <w:spacing w:val="-1"/>
                <w:sz w:val="24"/>
                <w:szCs w:val="24"/>
              </w:rPr>
              <w:t>擅离考场或迟到、早退超过</w:t>
            </w:r>
            <w:r>
              <w:rPr>
                <w:rFonts w:ascii="宋体" w:hAnsi="宋体" w:eastAsia="宋体" w:cs="Times New Roman"/>
                <w:color w:val="auto"/>
                <w:spacing w:val="-1"/>
                <w:sz w:val="24"/>
                <w:szCs w:val="24"/>
              </w:rPr>
              <w:t>5</w:t>
            </w:r>
            <w:r>
              <w:rPr>
                <w:rFonts w:hint="eastAsia" w:ascii="宋体" w:hAnsi="宋体" w:eastAsia="宋体" w:cs="Times New Roman"/>
                <w:color w:val="auto"/>
                <w:spacing w:val="-1"/>
                <w:sz w:val="24"/>
                <w:szCs w:val="24"/>
              </w:rPr>
              <w:t>分钟以上</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3.</w:t>
            </w:r>
            <w:r>
              <w:rPr>
                <w:rFonts w:hint="eastAsia" w:ascii="宋体" w:hAnsi="宋体" w:eastAsia="宋体" w:cs="Times New Roman"/>
                <w:color w:val="auto"/>
                <w:spacing w:val="-1"/>
                <w:sz w:val="24"/>
                <w:szCs w:val="24"/>
              </w:rPr>
              <w:t>考生违反考场规则，监考人员不作及时处理，致使考场秩序混乱</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4.</w:t>
            </w:r>
            <w:r>
              <w:rPr>
                <w:rFonts w:hint="eastAsia" w:ascii="宋体" w:hAnsi="宋体" w:eastAsia="宋体" w:cs="Times New Roman"/>
                <w:color w:val="auto"/>
                <w:spacing w:val="-1"/>
                <w:sz w:val="24"/>
                <w:szCs w:val="24"/>
              </w:rPr>
              <w:t>班主任没有按规定安排学生考试，导致考试延迟</w:t>
            </w:r>
            <w:r>
              <w:rPr>
                <w:rFonts w:ascii="宋体" w:hAnsi="宋体" w:eastAsia="宋体" w:cs="Times New Roman"/>
                <w:color w:val="auto"/>
                <w:spacing w:val="-1"/>
                <w:sz w:val="24"/>
                <w:szCs w:val="24"/>
              </w:rPr>
              <w:t>10</w:t>
            </w:r>
            <w:r>
              <w:rPr>
                <w:rFonts w:hint="eastAsia" w:ascii="宋体" w:hAnsi="宋体" w:eastAsia="宋体" w:cs="Times New Roman"/>
                <w:color w:val="auto"/>
                <w:spacing w:val="-1"/>
                <w:sz w:val="24"/>
                <w:szCs w:val="24"/>
              </w:rPr>
              <w:t>分钟以上</w:t>
            </w:r>
          </w:p>
          <w:p>
            <w:pPr>
              <w:ind w:firstLine="480" w:firstLineChars="200"/>
              <w:rPr>
                <w:rFonts w:ascii="宋体" w:hAnsi="Calibri" w:eastAsia="宋体" w:cs="Times New Roman"/>
                <w:color w:val="auto"/>
                <w:sz w:val="24"/>
                <w:szCs w:val="24"/>
              </w:rPr>
            </w:pPr>
            <w:r>
              <w:rPr>
                <w:rFonts w:hint="eastAsia" w:ascii="宋体" w:hAnsi="Calibri" w:eastAsia="宋体" w:cs="Times New Roman"/>
                <w:color w:val="auto"/>
                <w:sz w:val="24"/>
                <w:szCs w:val="24"/>
              </w:rPr>
              <w:t>5.无故缺席。</w:t>
            </w:r>
          </w:p>
        </w:tc>
        <w:tc>
          <w:tcPr>
            <w:tcW w:w="570"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jc w:val="center"/>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五</w:t>
            </w:r>
          </w:p>
          <w:p>
            <w:pPr>
              <w:ind w:firstLine="476" w:firstLineChars="200"/>
              <w:jc w:val="center"/>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四</w:t>
            </w: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四</w:t>
            </w:r>
          </w:p>
          <w:p>
            <w:pPr>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三</w:t>
            </w:r>
          </w:p>
          <w:p>
            <w:pPr>
              <w:rPr>
                <w:rFonts w:ascii="宋体" w:hAnsi="Calibri" w:eastAsia="宋体" w:cs="Times New Roman"/>
                <w:color w:val="auto"/>
                <w:spacing w:val="-1"/>
                <w:sz w:val="24"/>
                <w:szCs w:val="24"/>
              </w:rPr>
            </w:pPr>
          </w:p>
          <w:p>
            <w:pPr>
              <w:rPr>
                <w:rFonts w:ascii="宋体" w:hAnsi="Calibri" w:eastAsia="宋体" w:cs="Times New Roman"/>
                <w:color w:val="auto"/>
                <w:sz w:val="24"/>
                <w:szCs w:val="24"/>
              </w:rPr>
            </w:pPr>
            <w:r>
              <w:rPr>
                <w:rFonts w:hint="eastAsia" w:ascii="宋体" w:hAnsi="Calibri"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76" w:hRule="atLeast"/>
        </w:trPr>
        <w:tc>
          <w:tcPr>
            <w:tcW w:w="570" w:type="dxa"/>
            <w:vMerge w:val="continue"/>
            <w:tcBorders>
              <w:left w:val="single" w:color="auto" w:sz="6" w:space="0"/>
              <w:right w:val="single" w:color="auto" w:sz="6" w:space="0"/>
            </w:tcBorders>
            <w:noWrap w:val="0"/>
            <w:vAlign w:val="top"/>
          </w:tcPr>
          <w:p>
            <w:pPr>
              <w:ind w:firstLine="480" w:firstLineChars="200"/>
              <w:rPr>
                <w:rFonts w:ascii="宋体" w:hAnsi="Calibri" w:eastAsia="宋体" w:cs="Times New Roman"/>
                <w:color w:val="auto"/>
                <w:sz w:val="24"/>
                <w:szCs w:val="24"/>
              </w:rPr>
            </w:pPr>
          </w:p>
        </w:tc>
        <w:tc>
          <w:tcPr>
            <w:tcW w:w="631"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z w:val="24"/>
                <w:szCs w:val="24"/>
              </w:rPr>
            </w:pPr>
            <w:r>
              <w:rPr>
                <w:rFonts w:ascii="宋体" w:hAnsi="宋体" w:eastAsia="宋体" w:cs="Times New Roman"/>
                <w:color w:val="auto"/>
                <w:spacing w:val="-1"/>
                <w:sz w:val="24"/>
                <w:szCs w:val="24"/>
              </w:rPr>
              <w:t>3-3</w:t>
            </w:r>
          </w:p>
        </w:tc>
        <w:tc>
          <w:tcPr>
            <w:tcW w:w="7107"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试卷命题、保管、印刷、传递过程中：</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1.</w:t>
            </w:r>
            <w:r>
              <w:rPr>
                <w:rFonts w:hint="eastAsia" w:ascii="宋体" w:hAnsi="宋体" w:eastAsia="宋体" w:cs="Times New Roman"/>
                <w:color w:val="auto"/>
                <w:spacing w:val="-1"/>
                <w:sz w:val="24"/>
                <w:szCs w:val="24"/>
              </w:rPr>
              <w:t>管理不善泄密</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2.</w:t>
            </w:r>
            <w:r>
              <w:rPr>
                <w:rFonts w:hint="eastAsia" w:ascii="宋体" w:hAnsi="宋体" w:eastAsia="宋体" w:cs="Times New Roman"/>
                <w:color w:val="auto"/>
                <w:spacing w:val="-1"/>
                <w:sz w:val="24"/>
                <w:szCs w:val="24"/>
              </w:rPr>
              <w:t>故意泄密</w:t>
            </w:r>
          </w:p>
          <w:p>
            <w:pPr>
              <w:ind w:firstLine="476" w:firstLineChars="200"/>
              <w:rPr>
                <w:rFonts w:ascii="宋体" w:hAnsi="Calibri" w:eastAsia="宋体" w:cs="Times New Roman"/>
                <w:color w:val="auto"/>
                <w:sz w:val="24"/>
                <w:szCs w:val="24"/>
              </w:rPr>
            </w:pPr>
            <w:r>
              <w:rPr>
                <w:rFonts w:ascii="宋体" w:hAnsi="宋体" w:eastAsia="宋体" w:cs="Times New Roman"/>
                <w:color w:val="auto"/>
                <w:spacing w:val="-1"/>
                <w:sz w:val="24"/>
                <w:szCs w:val="24"/>
              </w:rPr>
              <w:t>3.</w:t>
            </w:r>
            <w:r>
              <w:rPr>
                <w:rFonts w:hint="eastAsia" w:ascii="宋体" w:hAnsi="宋体" w:eastAsia="宋体" w:cs="Times New Roman"/>
                <w:color w:val="auto"/>
                <w:spacing w:val="-1"/>
                <w:sz w:val="24"/>
                <w:szCs w:val="24"/>
              </w:rPr>
              <w:t>试卷有答案、或者有严重错误一个或者明显错误三个</w:t>
            </w:r>
          </w:p>
        </w:tc>
        <w:tc>
          <w:tcPr>
            <w:tcW w:w="570" w:type="dxa"/>
            <w:tcBorders>
              <w:top w:val="single" w:color="auto" w:sz="6" w:space="0"/>
              <w:left w:val="single" w:color="auto" w:sz="6" w:space="0"/>
              <w:bottom w:val="single" w:color="auto" w:sz="6" w:space="0"/>
              <w:right w:val="single" w:color="auto" w:sz="6" w:space="0"/>
            </w:tcBorders>
            <w:noWrap w:val="0"/>
            <w:vAlign w:val="top"/>
          </w:tcPr>
          <w:p>
            <w:pPr>
              <w:ind w:firstLine="480" w:firstLineChars="200"/>
              <w:jc w:val="center"/>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二</w:t>
            </w: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四</w:t>
            </w:r>
          </w:p>
        </w:tc>
      </w:tr>
      <w:tr>
        <w:tblPrEx>
          <w:tblLayout w:type="fixed"/>
          <w:tblCellMar>
            <w:top w:w="0" w:type="dxa"/>
            <w:left w:w="108" w:type="dxa"/>
            <w:bottom w:w="0" w:type="dxa"/>
            <w:right w:w="108" w:type="dxa"/>
          </w:tblCellMar>
        </w:tblPrEx>
        <w:trPr>
          <w:cantSplit/>
          <w:trHeight w:val="902" w:hRule="atLeast"/>
        </w:trPr>
        <w:tc>
          <w:tcPr>
            <w:tcW w:w="570" w:type="dxa"/>
            <w:vMerge w:val="continue"/>
            <w:tcBorders>
              <w:left w:val="single" w:color="auto" w:sz="6" w:space="0"/>
              <w:right w:val="single" w:color="auto" w:sz="6" w:space="0"/>
            </w:tcBorders>
            <w:noWrap w:val="0"/>
            <w:vAlign w:val="top"/>
          </w:tcPr>
          <w:p>
            <w:pPr>
              <w:ind w:firstLine="480" w:firstLineChars="200"/>
              <w:rPr>
                <w:rFonts w:ascii="宋体" w:hAnsi="Calibri" w:eastAsia="宋体" w:cs="Times New Roman"/>
                <w:color w:val="auto"/>
                <w:sz w:val="24"/>
                <w:szCs w:val="24"/>
              </w:rPr>
            </w:pPr>
          </w:p>
        </w:tc>
        <w:tc>
          <w:tcPr>
            <w:tcW w:w="631"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z w:val="24"/>
                <w:szCs w:val="24"/>
              </w:rPr>
            </w:pPr>
            <w:r>
              <w:rPr>
                <w:rFonts w:ascii="宋体" w:hAnsi="宋体" w:eastAsia="宋体" w:cs="Times New Roman"/>
                <w:color w:val="auto"/>
                <w:spacing w:val="-1"/>
                <w:sz w:val="24"/>
                <w:szCs w:val="24"/>
              </w:rPr>
              <w:t>3-4</w:t>
            </w:r>
          </w:p>
        </w:tc>
        <w:tc>
          <w:tcPr>
            <w:tcW w:w="7107"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1.</w:t>
            </w:r>
            <w:r>
              <w:rPr>
                <w:rFonts w:hint="eastAsia" w:ascii="宋体" w:hAnsi="宋体" w:eastAsia="宋体" w:cs="Times New Roman"/>
                <w:color w:val="auto"/>
                <w:spacing w:val="-1"/>
                <w:sz w:val="24"/>
                <w:szCs w:val="24"/>
              </w:rPr>
              <w:t>考毕收回试卷数与参考人数不符</w:t>
            </w:r>
          </w:p>
          <w:p>
            <w:pPr>
              <w:ind w:firstLine="476" w:firstLineChars="200"/>
              <w:rPr>
                <w:rFonts w:ascii="宋体" w:hAnsi="Calibri" w:eastAsia="宋体" w:cs="Times New Roman"/>
                <w:color w:val="auto"/>
                <w:sz w:val="24"/>
                <w:szCs w:val="24"/>
              </w:rPr>
            </w:pPr>
            <w:r>
              <w:rPr>
                <w:rFonts w:ascii="宋体" w:hAnsi="宋体" w:eastAsia="宋体" w:cs="Times New Roman"/>
                <w:color w:val="auto"/>
                <w:spacing w:val="-1"/>
                <w:sz w:val="24"/>
                <w:szCs w:val="24"/>
              </w:rPr>
              <w:t>2.</w:t>
            </w:r>
            <w:r>
              <w:rPr>
                <w:rFonts w:hint="eastAsia" w:ascii="宋体" w:hAnsi="宋体" w:eastAsia="宋体" w:cs="Times New Roman"/>
                <w:color w:val="auto"/>
                <w:spacing w:val="-1"/>
                <w:sz w:val="24"/>
                <w:szCs w:val="24"/>
              </w:rPr>
              <w:t>未按规定做好考场记录、收齐考务资料等</w:t>
            </w:r>
          </w:p>
        </w:tc>
        <w:tc>
          <w:tcPr>
            <w:tcW w:w="570" w:type="dxa"/>
            <w:tcBorders>
              <w:top w:val="single" w:color="auto" w:sz="6" w:space="0"/>
              <w:left w:val="single" w:color="auto" w:sz="6" w:space="0"/>
              <w:bottom w:val="single" w:color="auto" w:sz="6" w:space="0"/>
              <w:right w:val="single" w:color="auto" w:sz="6" w:space="0"/>
            </w:tcBorders>
            <w:noWrap w:val="0"/>
            <w:vAlign w:val="top"/>
          </w:tcPr>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pacing w:val="-1"/>
                <w:sz w:val="24"/>
                <w:szCs w:val="24"/>
              </w:rPr>
              <w:t>五</w:t>
            </w:r>
          </w:p>
        </w:tc>
      </w:tr>
      <w:tr>
        <w:tblPrEx>
          <w:tblLayout w:type="fixed"/>
          <w:tblCellMar>
            <w:top w:w="0" w:type="dxa"/>
            <w:left w:w="108" w:type="dxa"/>
            <w:bottom w:w="0" w:type="dxa"/>
            <w:right w:w="108" w:type="dxa"/>
          </w:tblCellMar>
        </w:tblPrEx>
        <w:trPr>
          <w:cantSplit/>
          <w:trHeight w:val="2058" w:hRule="atLeast"/>
        </w:trPr>
        <w:tc>
          <w:tcPr>
            <w:tcW w:w="570" w:type="dxa"/>
            <w:vMerge w:val="continue"/>
            <w:tcBorders>
              <w:left w:val="single" w:color="auto" w:sz="6" w:space="0"/>
              <w:right w:val="single" w:color="auto" w:sz="6" w:space="0"/>
            </w:tcBorders>
            <w:noWrap w:val="0"/>
            <w:vAlign w:val="top"/>
          </w:tcPr>
          <w:p>
            <w:pPr>
              <w:ind w:firstLine="480" w:firstLineChars="200"/>
              <w:rPr>
                <w:rFonts w:ascii="宋体" w:hAnsi="Calibri" w:eastAsia="宋体" w:cs="Times New Roman"/>
                <w:color w:val="auto"/>
                <w:sz w:val="24"/>
                <w:szCs w:val="24"/>
              </w:rPr>
            </w:pPr>
          </w:p>
        </w:tc>
        <w:tc>
          <w:tcPr>
            <w:tcW w:w="631"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z w:val="24"/>
                <w:szCs w:val="24"/>
              </w:rPr>
            </w:pPr>
            <w:r>
              <w:rPr>
                <w:rFonts w:ascii="宋体" w:hAnsi="宋体" w:eastAsia="宋体" w:cs="Times New Roman"/>
                <w:color w:val="auto"/>
                <w:spacing w:val="-1"/>
                <w:sz w:val="24"/>
                <w:szCs w:val="24"/>
              </w:rPr>
              <w:t>3-5</w:t>
            </w:r>
          </w:p>
        </w:tc>
        <w:tc>
          <w:tcPr>
            <w:tcW w:w="7107"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宋体" w:eastAsia="宋体" w:cs="Times New Roman"/>
                <w:color w:val="auto"/>
                <w:spacing w:val="-1"/>
                <w:sz w:val="24"/>
                <w:szCs w:val="24"/>
              </w:rPr>
            </w:pPr>
            <w:r>
              <w:rPr>
                <w:rFonts w:ascii="宋体" w:hAnsi="宋体" w:eastAsia="宋体" w:cs="Times New Roman"/>
                <w:color w:val="auto"/>
                <w:spacing w:val="-1"/>
                <w:sz w:val="24"/>
                <w:szCs w:val="24"/>
              </w:rPr>
              <w:t>1.</w:t>
            </w:r>
            <w:r>
              <w:rPr>
                <w:rFonts w:hint="eastAsia" w:ascii="宋体" w:hAnsi="宋体" w:eastAsia="宋体" w:cs="Times New Roman"/>
                <w:color w:val="auto"/>
                <w:spacing w:val="-1"/>
                <w:sz w:val="24"/>
                <w:szCs w:val="24"/>
              </w:rPr>
              <w:t>考试或补考后教师及班主任未按规定登录成绩表及补考名单，教师无特殊原因超过规定时间报送成绩</w:t>
            </w:r>
          </w:p>
          <w:p>
            <w:pPr>
              <w:ind w:firstLine="476" w:firstLineChars="200"/>
              <w:rPr>
                <w:rFonts w:ascii="宋体" w:hAnsi="宋体"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2.</w:t>
            </w:r>
            <w:r>
              <w:rPr>
                <w:rFonts w:hint="eastAsia" w:ascii="宋体" w:hAnsi="宋体" w:eastAsia="宋体" w:cs="Times New Roman"/>
                <w:color w:val="auto"/>
                <w:spacing w:val="-1"/>
                <w:sz w:val="24"/>
                <w:szCs w:val="24"/>
              </w:rPr>
              <w:t>为不愿学同学、考试差同学，找任课教师打招呼，为难任课教师的</w:t>
            </w:r>
          </w:p>
          <w:p>
            <w:pPr>
              <w:ind w:firstLine="476" w:firstLineChars="200"/>
              <w:rPr>
                <w:rFonts w:ascii="宋体" w:hAnsi="Calibri" w:eastAsia="宋体" w:cs="Times New Roman"/>
                <w:color w:val="auto"/>
                <w:sz w:val="24"/>
                <w:szCs w:val="24"/>
              </w:rPr>
            </w:pPr>
            <w:r>
              <w:rPr>
                <w:rFonts w:ascii="宋体" w:hAnsi="宋体" w:eastAsia="宋体" w:cs="Times New Roman"/>
                <w:color w:val="auto"/>
                <w:spacing w:val="-1"/>
                <w:sz w:val="24"/>
                <w:szCs w:val="24"/>
              </w:rPr>
              <w:t>3.</w:t>
            </w:r>
            <w:r>
              <w:rPr>
                <w:rFonts w:hint="eastAsia" w:ascii="宋体" w:hAnsi="宋体" w:eastAsia="宋体" w:cs="Times New Roman"/>
                <w:color w:val="auto"/>
                <w:spacing w:val="-1"/>
                <w:sz w:val="24"/>
                <w:szCs w:val="24"/>
              </w:rPr>
              <w:t>找学生批改试卷或登录成绩</w:t>
            </w:r>
          </w:p>
        </w:tc>
        <w:tc>
          <w:tcPr>
            <w:tcW w:w="570"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五</w:t>
            </w:r>
          </w:p>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五</w:t>
            </w:r>
          </w:p>
          <w:p>
            <w:pPr>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pacing w:val="-1"/>
                <w:sz w:val="24"/>
                <w:szCs w:val="24"/>
              </w:rPr>
              <w:t>五</w:t>
            </w:r>
          </w:p>
        </w:tc>
      </w:tr>
      <w:tr>
        <w:tblPrEx>
          <w:tblLayout w:type="fixed"/>
          <w:tblCellMar>
            <w:top w:w="0" w:type="dxa"/>
            <w:left w:w="108" w:type="dxa"/>
            <w:bottom w:w="0" w:type="dxa"/>
            <w:right w:w="108" w:type="dxa"/>
          </w:tblCellMar>
        </w:tblPrEx>
        <w:trPr>
          <w:cantSplit/>
          <w:trHeight w:val="1314" w:hRule="atLeast"/>
        </w:trPr>
        <w:tc>
          <w:tcPr>
            <w:tcW w:w="570" w:type="dxa"/>
            <w:vMerge w:val="continue"/>
            <w:tcBorders>
              <w:left w:val="single" w:color="auto" w:sz="6" w:space="0"/>
              <w:right w:val="single" w:color="auto" w:sz="6" w:space="0"/>
            </w:tcBorders>
            <w:noWrap w:val="0"/>
            <w:vAlign w:val="top"/>
          </w:tcPr>
          <w:p>
            <w:pPr>
              <w:ind w:firstLine="480" w:firstLineChars="200"/>
              <w:rPr>
                <w:rFonts w:ascii="宋体" w:hAnsi="Calibri" w:eastAsia="宋体" w:cs="Times New Roman"/>
                <w:color w:val="auto"/>
                <w:sz w:val="24"/>
                <w:szCs w:val="24"/>
              </w:rPr>
            </w:pPr>
          </w:p>
        </w:tc>
        <w:tc>
          <w:tcPr>
            <w:tcW w:w="631"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z w:val="24"/>
                <w:szCs w:val="24"/>
              </w:rPr>
            </w:pPr>
            <w:r>
              <w:rPr>
                <w:rFonts w:ascii="宋体" w:hAnsi="宋体" w:eastAsia="宋体" w:cs="Times New Roman"/>
                <w:color w:val="auto"/>
                <w:spacing w:val="-1"/>
                <w:sz w:val="24"/>
                <w:szCs w:val="24"/>
              </w:rPr>
              <w:t>3-6</w:t>
            </w:r>
          </w:p>
        </w:tc>
        <w:tc>
          <w:tcPr>
            <w:tcW w:w="7107"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宋体" w:eastAsia="宋体" w:cs="Times New Roman"/>
                <w:color w:val="auto"/>
                <w:spacing w:val="-1"/>
                <w:sz w:val="24"/>
                <w:szCs w:val="24"/>
              </w:rPr>
            </w:pPr>
            <w:r>
              <w:rPr>
                <w:rFonts w:hint="eastAsia" w:ascii="宋体" w:hAnsi="宋体" w:eastAsia="宋体" w:cs="Times New Roman"/>
                <w:color w:val="auto"/>
                <w:spacing w:val="-1"/>
                <w:sz w:val="24"/>
                <w:szCs w:val="24"/>
              </w:rPr>
              <w:t>考分报出后因批改错误</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错评、漏评试题或漏登成绩等</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，要更改学生成绩</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含补考名单</w:t>
            </w:r>
            <w:r>
              <w:rPr>
                <w:rFonts w:ascii="宋体" w:hAnsi="宋体" w:eastAsia="宋体" w:cs="Times New Roman"/>
                <w:color w:val="auto"/>
                <w:spacing w:val="-1"/>
                <w:sz w:val="24"/>
                <w:szCs w:val="24"/>
              </w:rPr>
              <w:t>)</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 xml:space="preserve"> 1-4</w:t>
            </w:r>
            <w:r>
              <w:rPr>
                <w:rFonts w:hint="eastAsia" w:ascii="宋体" w:hAnsi="宋体" w:eastAsia="宋体" w:cs="Times New Roman"/>
                <w:color w:val="auto"/>
                <w:spacing w:val="-1"/>
                <w:sz w:val="24"/>
                <w:szCs w:val="24"/>
              </w:rPr>
              <w:t>人</w:t>
            </w:r>
          </w:p>
          <w:p>
            <w:pPr>
              <w:ind w:firstLine="476" w:firstLineChars="200"/>
              <w:rPr>
                <w:rFonts w:ascii="宋体" w:hAnsi="Calibri" w:eastAsia="宋体" w:cs="Times New Roman"/>
                <w:color w:val="auto"/>
                <w:sz w:val="24"/>
                <w:szCs w:val="24"/>
              </w:rPr>
            </w:pPr>
            <w:r>
              <w:rPr>
                <w:rFonts w:ascii="宋体" w:hAnsi="宋体" w:eastAsia="宋体" w:cs="Times New Roman"/>
                <w:color w:val="auto"/>
                <w:spacing w:val="-1"/>
                <w:sz w:val="24"/>
                <w:szCs w:val="24"/>
              </w:rPr>
              <w:t xml:space="preserve"> 5</w:t>
            </w:r>
            <w:r>
              <w:rPr>
                <w:rFonts w:hint="eastAsia" w:ascii="宋体" w:hAnsi="宋体" w:eastAsia="宋体" w:cs="Times New Roman"/>
                <w:color w:val="auto"/>
                <w:spacing w:val="-1"/>
                <w:sz w:val="24"/>
                <w:szCs w:val="24"/>
              </w:rPr>
              <w:t>人以上</w:t>
            </w:r>
          </w:p>
        </w:tc>
        <w:tc>
          <w:tcPr>
            <w:tcW w:w="570"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pacing w:val="-1"/>
                <w:sz w:val="24"/>
                <w:szCs w:val="24"/>
              </w:rPr>
              <w:t>四</w:t>
            </w:r>
          </w:p>
        </w:tc>
      </w:tr>
      <w:tr>
        <w:tblPrEx>
          <w:tblLayout w:type="fixed"/>
          <w:tblCellMar>
            <w:top w:w="0" w:type="dxa"/>
            <w:left w:w="108" w:type="dxa"/>
            <w:bottom w:w="0" w:type="dxa"/>
            <w:right w:w="108" w:type="dxa"/>
          </w:tblCellMar>
        </w:tblPrEx>
        <w:trPr>
          <w:cantSplit/>
          <w:trHeight w:val="902" w:hRule="atLeast"/>
        </w:trPr>
        <w:tc>
          <w:tcPr>
            <w:tcW w:w="570" w:type="dxa"/>
            <w:vMerge w:val="continue"/>
            <w:tcBorders>
              <w:left w:val="single" w:color="auto" w:sz="6" w:space="0"/>
              <w:bottom w:val="single" w:color="auto" w:sz="6" w:space="0"/>
              <w:right w:val="single" w:color="auto" w:sz="6" w:space="0"/>
            </w:tcBorders>
            <w:noWrap w:val="0"/>
            <w:vAlign w:val="top"/>
          </w:tcPr>
          <w:p>
            <w:pPr>
              <w:ind w:firstLine="480" w:firstLineChars="200"/>
              <w:rPr>
                <w:rFonts w:ascii="宋体" w:hAnsi="Calibri" w:eastAsia="宋体" w:cs="Times New Roman"/>
                <w:color w:val="auto"/>
                <w:sz w:val="24"/>
                <w:szCs w:val="24"/>
              </w:rPr>
            </w:pPr>
          </w:p>
        </w:tc>
        <w:tc>
          <w:tcPr>
            <w:tcW w:w="631" w:type="dxa"/>
            <w:tcBorders>
              <w:top w:val="single" w:color="auto" w:sz="6" w:space="0"/>
              <w:left w:val="single" w:color="auto" w:sz="6" w:space="0"/>
              <w:bottom w:val="single" w:color="auto" w:sz="6" w:space="0"/>
              <w:right w:val="single" w:color="auto" w:sz="6" w:space="0"/>
            </w:tcBorders>
            <w:noWrap w:val="0"/>
            <w:vAlign w:val="top"/>
          </w:tcPr>
          <w:p>
            <w:pPr>
              <w:rPr>
                <w:rFonts w:ascii="宋体" w:hAnsi="Calibri" w:eastAsia="宋体" w:cs="Times New Roman"/>
                <w:color w:val="auto"/>
                <w:sz w:val="24"/>
                <w:szCs w:val="24"/>
              </w:rPr>
            </w:pPr>
            <w:r>
              <w:rPr>
                <w:rFonts w:ascii="宋体" w:hAnsi="宋体" w:eastAsia="宋体" w:cs="Times New Roman"/>
                <w:color w:val="auto"/>
                <w:spacing w:val="-1"/>
                <w:sz w:val="24"/>
                <w:szCs w:val="24"/>
              </w:rPr>
              <w:t>3</w:t>
            </w:r>
            <w:r>
              <w:rPr>
                <w:rFonts w:ascii="宋体" w:hAnsi="Calibri" w:eastAsia="宋体" w:cs="Times New Roman"/>
                <w:color w:val="auto"/>
                <w:spacing w:val="-1"/>
                <w:sz w:val="24"/>
                <w:szCs w:val="24"/>
              </w:rPr>
              <w:t>-</w:t>
            </w:r>
            <w:r>
              <w:rPr>
                <w:rFonts w:ascii="宋体" w:hAnsi="宋体" w:eastAsia="宋体" w:cs="Times New Roman"/>
                <w:color w:val="auto"/>
                <w:spacing w:val="-1"/>
                <w:sz w:val="24"/>
                <w:szCs w:val="24"/>
              </w:rPr>
              <w:t>7</w:t>
            </w:r>
          </w:p>
        </w:tc>
        <w:tc>
          <w:tcPr>
            <w:tcW w:w="7107" w:type="dxa"/>
            <w:tcBorders>
              <w:top w:val="single" w:color="auto" w:sz="6" w:space="0"/>
              <w:left w:val="single" w:color="auto" w:sz="6" w:space="0"/>
              <w:bottom w:val="single" w:color="auto" w:sz="6" w:space="0"/>
              <w:right w:val="single" w:color="auto" w:sz="6" w:space="0"/>
            </w:tcBorders>
            <w:noWrap w:val="0"/>
            <w:vAlign w:val="top"/>
          </w:tcPr>
          <w:p>
            <w:pPr>
              <w:ind w:firstLine="476" w:firstLineChars="200"/>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任课教师、班主任、成绩管理人员丢失学生原始成绩</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含补考</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w:t>
            </w:r>
          </w:p>
          <w:p>
            <w:pPr>
              <w:ind w:firstLine="476" w:firstLineChars="200"/>
              <w:rPr>
                <w:rFonts w:ascii="宋体" w:hAnsi="Calibri" w:eastAsia="宋体" w:cs="Times New Roman"/>
                <w:color w:val="auto"/>
                <w:sz w:val="24"/>
                <w:szCs w:val="24"/>
              </w:rPr>
            </w:pPr>
            <w:r>
              <w:rPr>
                <w:rFonts w:hint="eastAsia" w:ascii="宋体" w:hAnsi="宋体" w:eastAsia="宋体" w:cs="Times New Roman"/>
                <w:color w:val="auto"/>
                <w:spacing w:val="-1"/>
                <w:sz w:val="24"/>
                <w:szCs w:val="24"/>
              </w:rPr>
              <w:t>随意更改学生考试成绩</w:t>
            </w:r>
          </w:p>
        </w:tc>
        <w:tc>
          <w:tcPr>
            <w:tcW w:w="570" w:type="dxa"/>
            <w:tcBorders>
              <w:top w:val="single" w:color="auto" w:sz="6" w:space="0"/>
              <w:left w:val="single" w:color="auto" w:sz="6" w:space="0"/>
              <w:bottom w:val="single" w:color="auto" w:sz="6" w:space="0"/>
              <w:right w:val="single" w:color="auto" w:sz="6" w:space="0"/>
            </w:tcBorders>
            <w:noWrap w:val="0"/>
            <w:vAlign w:val="top"/>
          </w:tcPr>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四</w:t>
            </w:r>
          </w:p>
          <w:p>
            <w:pPr>
              <w:rPr>
                <w:rFonts w:ascii="宋体" w:hAnsi="Calibri" w:eastAsia="宋体" w:cs="Times New Roman"/>
                <w:color w:val="auto"/>
                <w:spacing w:val="-1"/>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pacing w:val="-1"/>
                <w:sz w:val="24"/>
                <w:szCs w:val="24"/>
              </w:rPr>
              <w:t>三</w:t>
            </w:r>
          </w:p>
        </w:tc>
      </w:tr>
    </w:tbl>
    <w:p>
      <w:pPr>
        <w:widowControl/>
        <w:jc w:val="left"/>
        <w:rPr>
          <w:rFonts w:ascii="宋体" w:hAnsi="Calibri" w:eastAsia="宋体" w:cs="Times New Roman"/>
          <w:b/>
          <w:color w:val="auto"/>
          <w:spacing w:val="10"/>
          <w:sz w:val="24"/>
          <w:szCs w:val="24"/>
        </w:rPr>
      </w:pPr>
    </w:p>
    <w:p>
      <w:pPr>
        <w:widowControl/>
        <w:jc w:val="left"/>
        <w:rPr>
          <w:rFonts w:ascii="宋体" w:hAnsi="Calibri" w:eastAsia="宋体" w:cs="Times New Roman"/>
          <w:b/>
          <w:color w:val="auto"/>
          <w:spacing w:val="10"/>
          <w:sz w:val="24"/>
          <w:szCs w:val="24"/>
        </w:rPr>
      </w:pPr>
      <w:r>
        <w:rPr>
          <w:rFonts w:ascii="宋体" w:hAnsi="Calibri" w:eastAsia="宋体" w:cs="Times New Roman"/>
          <w:b/>
          <w:color w:val="auto"/>
          <w:spacing w:val="10"/>
          <w:sz w:val="24"/>
          <w:szCs w:val="24"/>
        </w:rPr>
        <w:br w:type="page"/>
      </w:r>
    </w:p>
    <w:p>
      <w:pPr>
        <w:widowControl/>
        <w:jc w:val="left"/>
        <w:rPr>
          <w:rFonts w:ascii="宋体" w:hAnsi="Calibri" w:eastAsia="宋体" w:cs="Times New Roman"/>
          <w:b/>
          <w:color w:val="auto"/>
          <w:spacing w:val="10"/>
          <w:sz w:val="24"/>
          <w:szCs w:val="24"/>
        </w:rPr>
      </w:pPr>
    </w:p>
    <w:tbl>
      <w:tblPr>
        <w:tblStyle w:val="16"/>
        <w:tblW w:w="8774" w:type="dxa"/>
        <w:tblInd w:w="-252" w:type="dxa"/>
        <w:tblLayout w:type="fixed"/>
        <w:tblCellMar>
          <w:top w:w="0" w:type="dxa"/>
          <w:left w:w="108" w:type="dxa"/>
          <w:bottom w:w="0" w:type="dxa"/>
          <w:right w:w="108" w:type="dxa"/>
        </w:tblCellMar>
      </w:tblPr>
      <w:tblGrid>
        <w:gridCol w:w="578"/>
        <w:gridCol w:w="878"/>
        <w:gridCol w:w="6739"/>
        <w:gridCol w:w="579"/>
      </w:tblGrid>
      <w:tr>
        <w:tblPrEx>
          <w:tblLayout w:type="fixed"/>
          <w:tblCellMar>
            <w:top w:w="0" w:type="dxa"/>
            <w:left w:w="108" w:type="dxa"/>
            <w:bottom w:w="0" w:type="dxa"/>
            <w:right w:w="108" w:type="dxa"/>
          </w:tblCellMar>
        </w:tblPrEx>
        <w:trPr>
          <w:cantSplit/>
          <w:trHeight w:val="450" w:hRule="atLeast"/>
        </w:trPr>
        <w:tc>
          <w:tcPr>
            <w:tcW w:w="578" w:type="dxa"/>
            <w:tcBorders>
              <w:top w:val="single" w:color="auto" w:sz="6" w:space="0"/>
              <w:left w:val="single" w:color="auto" w:sz="6" w:space="0"/>
              <w:bottom w:val="single" w:color="auto" w:sz="4" w:space="0"/>
              <w:right w:val="single" w:color="auto" w:sz="6" w:space="0"/>
            </w:tcBorders>
            <w:noWrap w:val="0"/>
            <w:vAlign w:val="center"/>
          </w:tcPr>
          <w:p>
            <w:pPr>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类别</w:t>
            </w:r>
          </w:p>
        </w:tc>
        <w:tc>
          <w:tcPr>
            <w:tcW w:w="878" w:type="dxa"/>
            <w:tcBorders>
              <w:top w:val="single" w:color="auto" w:sz="6" w:space="0"/>
              <w:left w:val="single" w:color="auto" w:sz="6" w:space="0"/>
              <w:bottom w:val="single" w:color="auto" w:sz="4" w:space="0"/>
              <w:right w:val="single" w:color="auto" w:sz="6" w:space="0"/>
            </w:tcBorders>
            <w:noWrap w:val="0"/>
            <w:vAlign w:val="center"/>
          </w:tcPr>
          <w:p>
            <w:pPr>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序号</w:t>
            </w:r>
          </w:p>
        </w:tc>
        <w:tc>
          <w:tcPr>
            <w:tcW w:w="6739" w:type="dxa"/>
            <w:tcBorders>
              <w:top w:val="single" w:color="auto" w:sz="6" w:space="0"/>
              <w:left w:val="single" w:color="auto" w:sz="6" w:space="0"/>
              <w:bottom w:val="single" w:color="auto" w:sz="4" w:space="0"/>
              <w:right w:val="single" w:color="auto" w:sz="6" w:space="0"/>
            </w:tcBorders>
            <w:noWrap w:val="0"/>
            <w:vAlign w:val="center"/>
          </w:tcPr>
          <w:p>
            <w:pPr>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事项</w:t>
            </w:r>
          </w:p>
        </w:tc>
        <w:tc>
          <w:tcPr>
            <w:tcW w:w="579" w:type="dxa"/>
            <w:tcBorders>
              <w:top w:val="single" w:color="auto" w:sz="6" w:space="0"/>
              <w:left w:val="single" w:color="auto" w:sz="6" w:space="0"/>
              <w:bottom w:val="single" w:color="auto" w:sz="4" w:space="0"/>
              <w:right w:val="single" w:color="auto" w:sz="6" w:space="0"/>
            </w:tcBorders>
            <w:noWrap w:val="0"/>
            <w:vAlign w:val="center"/>
          </w:tcPr>
          <w:p>
            <w:pPr>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级别</w:t>
            </w:r>
          </w:p>
        </w:tc>
      </w:tr>
      <w:tr>
        <w:tblPrEx>
          <w:tblLayout w:type="fixed"/>
          <w:tblCellMar>
            <w:top w:w="0" w:type="dxa"/>
            <w:left w:w="108" w:type="dxa"/>
            <w:bottom w:w="0" w:type="dxa"/>
            <w:right w:w="108" w:type="dxa"/>
          </w:tblCellMar>
        </w:tblPrEx>
        <w:trPr>
          <w:cantSplit/>
          <w:trHeight w:val="2535" w:hRule="atLeast"/>
        </w:trPr>
        <w:tc>
          <w:tcPr>
            <w:tcW w:w="578" w:type="dxa"/>
            <w:vMerge w:val="restart"/>
            <w:tcBorders>
              <w:top w:val="single" w:color="auto" w:sz="4" w:space="0"/>
              <w:left w:val="single" w:color="auto" w:sz="6" w:space="0"/>
              <w:right w:val="single" w:color="auto" w:sz="6" w:space="0"/>
            </w:tcBorders>
            <w:noWrap w:val="0"/>
            <w:vAlign w:val="center"/>
          </w:tcPr>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管</w:t>
            </w:r>
          </w:p>
          <w:p>
            <w:pPr>
              <w:ind w:firstLine="476" w:firstLineChars="200"/>
              <w:jc w:val="center"/>
              <w:rPr>
                <w:rFonts w:ascii="宋体" w:hAnsi="Calibri" w:eastAsia="宋体" w:cs="Times New Roman"/>
                <w:color w:val="auto"/>
                <w:spacing w:val="-1"/>
                <w:sz w:val="24"/>
                <w:szCs w:val="24"/>
              </w:rPr>
            </w:pPr>
          </w:p>
          <w:p>
            <w:pPr>
              <w:ind w:firstLine="476" w:firstLineChars="200"/>
              <w:jc w:val="center"/>
              <w:rPr>
                <w:rFonts w:ascii="宋体" w:hAnsi="Calibri" w:eastAsia="宋体" w:cs="Times New Roman"/>
                <w:color w:val="auto"/>
                <w:spacing w:val="-1"/>
                <w:sz w:val="24"/>
                <w:szCs w:val="24"/>
              </w:rPr>
            </w:pPr>
          </w:p>
          <w:p>
            <w:pPr>
              <w:jc w:val="cente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理</w:t>
            </w:r>
          </w:p>
        </w:tc>
        <w:tc>
          <w:tcPr>
            <w:tcW w:w="878" w:type="dxa"/>
            <w:tcBorders>
              <w:top w:val="single" w:color="auto" w:sz="4" w:space="0"/>
              <w:left w:val="single" w:color="auto" w:sz="6" w:space="0"/>
              <w:bottom w:val="single" w:color="auto" w:sz="4"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p>
          <w:p>
            <w:pPr>
              <w:rPr>
                <w:rFonts w:ascii="宋体" w:hAnsi="宋体" w:eastAsia="宋体" w:cs="Times New Roman"/>
                <w:color w:val="auto"/>
                <w:spacing w:val="-1"/>
                <w:sz w:val="24"/>
                <w:szCs w:val="24"/>
              </w:rPr>
            </w:pPr>
            <w:r>
              <w:rPr>
                <w:rFonts w:ascii="宋体" w:hAnsi="宋体" w:eastAsia="宋体" w:cs="Times New Roman"/>
                <w:color w:val="auto"/>
                <w:spacing w:val="-1"/>
                <w:sz w:val="24"/>
                <w:szCs w:val="24"/>
              </w:rPr>
              <w:t>4-1</w:t>
            </w:r>
          </w:p>
          <w:p>
            <w:pPr>
              <w:ind w:firstLine="476" w:firstLineChars="200"/>
              <w:rPr>
                <w:rFonts w:ascii="宋体" w:hAnsi="Calibri" w:eastAsia="宋体" w:cs="Times New Roman"/>
                <w:color w:val="auto"/>
                <w:spacing w:val="-1"/>
                <w:sz w:val="24"/>
                <w:szCs w:val="24"/>
              </w:rPr>
            </w:pPr>
          </w:p>
        </w:tc>
        <w:tc>
          <w:tcPr>
            <w:tcW w:w="6739" w:type="dxa"/>
            <w:tcBorders>
              <w:top w:val="single" w:color="auto" w:sz="4" w:space="0"/>
              <w:left w:val="single" w:color="auto" w:sz="6" w:space="0"/>
              <w:bottom w:val="single" w:color="auto" w:sz="4"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教学管理部门、教师或班主任管理不善，造成学生成绩差</w:t>
            </w:r>
          </w:p>
          <w:p>
            <w:pPr>
              <w:ind w:firstLine="476" w:firstLineChars="200"/>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错</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每份成绩单、成绩汇总表及补考名单等</w:t>
            </w:r>
            <w:r>
              <w:rPr>
                <w:rFonts w:ascii="宋体" w:hAnsi="宋体" w:eastAsia="宋体" w:cs="Times New Roman"/>
                <w:color w:val="auto"/>
                <w:spacing w:val="-1"/>
                <w:sz w:val="24"/>
                <w:szCs w:val="24"/>
              </w:rPr>
              <w:t>)</w:t>
            </w:r>
            <w:r>
              <w:rPr>
                <w:rFonts w:hint="eastAsia" w:ascii="宋体" w:hAnsi="宋体" w:eastAsia="宋体" w:cs="Times New Roman"/>
                <w:color w:val="auto"/>
                <w:spacing w:val="-1"/>
                <w:sz w:val="24"/>
                <w:szCs w:val="24"/>
              </w:rPr>
              <w:t>：</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1.1-4</w:t>
            </w:r>
            <w:r>
              <w:rPr>
                <w:rFonts w:hint="eastAsia" w:ascii="宋体" w:hAnsi="宋体" w:eastAsia="宋体" w:cs="Times New Roman"/>
                <w:color w:val="auto"/>
                <w:spacing w:val="-1"/>
                <w:sz w:val="24"/>
                <w:szCs w:val="24"/>
              </w:rPr>
              <w:t>人次</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2.5-10</w:t>
            </w:r>
            <w:r>
              <w:rPr>
                <w:rFonts w:hint="eastAsia" w:ascii="宋体" w:hAnsi="宋体" w:eastAsia="宋体" w:cs="Times New Roman"/>
                <w:color w:val="auto"/>
                <w:spacing w:val="-1"/>
                <w:sz w:val="24"/>
                <w:szCs w:val="24"/>
              </w:rPr>
              <w:t>人次</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3.11-20</w:t>
            </w:r>
            <w:r>
              <w:rPr>
                <w:rFonts w:hint="eastAsia" w:ascii="宋体" w:hAnsi="宋体" w:eastAsia="宋体" w:cs="Times New Roman"/>
                <w:color w:val="auto"/>
                <w:spacing w:val="-1"/>
                <w:sz w:val="24"/>
                <w:szCs w:val="24"/>
              </w:rPr>
              <w:t>人次</w:t>
            </w:r>
          </w:p>
          <w:p>
            <w:pPr>
              <w:ind w:firstLine="476" w:firstLineChars="200"/>
              <w:rPr>
                <w:rFonts w:ascii="宋体" w:hAnsi="Calibri" w:eastAsia="宋体" w:cs="Times New Roman"/>
                <w:color w:val="auto"/>
                <w:spacing w:val="-1"/>
                <w:sz w:val="24"/>
                <w:szCs w:val="24"/>
              </w:rPr>
            </w:pPr>
            <w:r>
              <w:rPr>
                <w:rFonts w:ascii="宋体" w:hAnsi="宋体" w:eastAsia="宋体" w:cs="Times New Roman"/>
                <w:color w:val="auto"/>
                <w:spacing w:val="-1"/>
                <w:sz w:val="24"/>
                <w:szCs w:val="24"/>
              </w:rPr>
              <w:t>4.21</w:t>
            </w:r>
            <w:r>
              <w:rPr>
                <w:rFonts w:hint="eastAsia" w:ascii="宋体" w:hAnsi="宋体" w:eastAsia="宋体" w:cs="Times New Roman"/>
                <w:color w:val="auto"/>
                <w:spacing w:val="-1"/>
                <w:sz w:val="24"/>
                <w:szCs w:val="24"/>
              </w:rPr>
              <w:t>人次以上</w:t>
            </w:r>
          </w:p>
        </w:tc>
        <w:tc>
          <w:tcPr>
            <w:tcW w:w="579" w:type="dxa"/>
            <w:tcBorders>
              <w:top w:val="single" w:color="auto" w:sz="4" w:space="0"/>
              <w:left w:val="single" w:color="auto" w:sz="6" w:space="0"/>
              <w:bottom w:val="single" w:color="auto" w:sz="4"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ind w:firstLine="476" w:firstLineChars="200"/>
              <w:rPr>
                <w:rFonts w:ascii="宋体" w:hAnsi="Calibri" w:eastAsia="宋体" w:cs="Times New Roman"/>
                <w:color w:val="auto"/>
                <w:spacing w:val="-1"/>
                <w:sz w:val="24"/>
                <w:szCs w:val="24"/>
              </w:rPr>
            </w:pP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五</w:t>
            </w: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四</w:t>
            </w: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二</w:t>
            </w:r>
          </w:p>
          <w:p>
            <w:pPr>
              <w:rPr>
                <w:rFonts w:ascii="宋体" w:hAnsi="Calibri" w:eastAsia="宋体" w:cs="Times New Roman"/>
                <w:color w:val="auto"/>
                <w:spacing w:val="-1"/>
                <w:sz w:val="24"/>
                <w:szCs w:val="24"/>
              </w:rPr>
            </w:pPr>
            <w:r>
              <w:rPr>
                <w:rFonts w:hint="eastAsia" w:ascii="宋体" w:hAnsi="宋体" w:eastAsia="宋体" w:cs="Times New Roman"/>
                <w:color w:val="auto"/>
                <w:spacing w:val="-1"/>
                <w:sz w:val="24"/>
                <w:szCs w:val="24"/>
              </w:rPr>
              <w:t>二</w:t>
            </w:r>
          </w:p>
        </w:tc>
      </w:tr>
      <w:tr>
        <w:tblPrEx>
          <w:tblLayout w:type="fixed"/>
          <w:tblCellMar>
            <w:top w:w="0" w:type="dxa"/>
            <w:left w:w="108" w:type="dxa"/>
            <w:bottom w:w="0" w:type="dxa"/>
            <w:right w:w="108" w:type="dxa"/>
          </w:tblCellMar>
        </w:tblPrEx>
        <w:trPr>
          <w:cantSplit/>
          <w:trHeight w:val="495" w:hRule="atLeast"/>
        </w:trPr>
        <w:tc>
          <w:tcPr>
            <w:tcW w:w="578" w:type="dxa"/>
            <w:vMerge w:val="continue"/>
            <w:tcBorders>
              <w:left w:val="single" w:color="auto" w:sz="6"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p>
        </w:tc>
        <w:tc>
          <w:tcPr>
            <w:tcW w:w="878" w:type="dxa"/>
            <w:tcBorders>
              <w:top w:val="single" w:color="auto" w:sz="4" w:space="0"/>
              <w:left w:val="single" w:color="auto" w:sz="6" w:space="0"/>
              <w:bottom w:val="single" w:color="auto" w:sz="4" w:space="0"/>
              <w:right w:val="single" w:color="auto" w:sz="6" w:space="0"/>
            </w:tcBorders>
            <w:noWrap w:val="0"/>
            <w:vAlign w:val="center"/>
          </w:tcPr>
          <w:p>
            <w:pPr>
              <w:rPr>
                <w:rFonts w:ascii="宋体" w:hAnsi="Calibri" w:eastAsia="宋体" w:cs="Times New Roman"/>
                <w:color w:val="auto"/>
                <w:spacing w:val="-1"/>
                <w:sz w:val="24"/>
                <w:szCs w:val="24"/>
              </w:rPr>
            </w:pPr>
            <w:r>
              <w:rPr>
                <w:rFonts w:ascii="宋体" w:hAnsi="宋体" w:eastAsia="宋体" w:cs="Times New Roman"/>
                <w:color w:val="auto"/>
                <w:sz w:val="24"/>
                <w:szCs w:val="24"/>
              </w:rPr>
              <w:t>4-2</w:t>
            </w:r>
          </w:p>
        </w:tc>
        <w:tc>
          <w:tcPr>
            <w:tcW w:w="6739"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未履行规定程序，不依据教学计划和授课计划，擅自：</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停开教学计划规定的某门课程</w:t>
            </w:r>
          </w:p>
          <w:p>
            <w:pPr>
              <w:ind w:firstLine="480" w:firstLineChars="200"/>
              <w:rPr>
                <w:rFonts w:ascii="宋体" w:hAnsi="Calibri" w:eastAsia="宋体" w:cs="Times New Roman"/>
                <w:color w:val="auto"/>
                <w:spacing w:val="-1"/>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增设新的课程或更改课程设置</w:t>
            </w:r>
          </w:p>
        </w:tc>
        <w:tc>
          <w:tcPr>
            <w:tcW w:w="579"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二</w:t>
            </w:r>
          </w:p>
          <w:p>
            <w:pPr>
              <w:rPr>
                <w:rFonts w:ascii="宋体" w:hAnsi="Calibri" w:eastAsia="宋体" w:cs="Times New Roman"/>
                <w:color w:val="auto"/>
                <w:spacing w:val="-1"/>
                <w:sz w:val="24"/>
                <w:szCs w:val="24"/>
              </w:rPr>
            </w:pPr>
            <w:r>
              <w:rPr>
                <w:rFonts w:hint="eastAsia" w:ascii="宋体" w:hAnsi="宋体" w:eastAsia="宋体" w:cs="Times New Roman"/>
                <w:color w:val="auto"/>
                <w:sz w:val="24"/>
                <w:szCs w:val="24"/>
              </w:rPr>
              <w:t>四</w:t>
            </w:r>
          </w:p>
        </w:tc>
      </w:tr>
      <w:tr>
        <w:tblPrEx>
          <w:tblLayout w:type="fixed"/>
          <w:tblCellMar>
            <w:top w:w="0" w:type="dxa"/>
            <w:left w:w="108" w:type="dxa"/>
            <w:bottom w:w="0" w:type="dxa"/>
            <w:right w:w="108" w:type="dxa"/>
          </w:tblCellMar>
        </w:tblPrEx>
        <w:trPr>
          <w:cantSplit/>
          <w:trHeight w:val="585" w:hRule="atLeast"/>
        </w:trPr>
        <w:tc>
          <w:tcPr>
            <w:tcW w:w="578" w:type="dxa"/>
            <w:vMerge w:val="continue"/>
            <w:tcBorders>
              <w:left w:val="single" w:color="auto" w:sz="6"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p>
        </w:tc>
        <w:tc>
          <w:tcPr>
            <w:tcW w:w="878" w:type="dxa"/>
            <w:tcBorders>
              <w:top w:val="single" w:color="auto" w:sz="4" w:space="0"/>
              <w:left w:val="single" w:color="auto" w:sz="6" w:space="0"/>
              <w:bottom w:val="single" w:color="auto" w:sz="4"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4-3</w:t>
            </w:r>
          </w:p>
        </w:tc>
        <w:tc>
          <w:tcPr>
            <w:tcW w:w="6739"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宋体" w:eastAsia="宋体" w:cs="Times New Roman"/>
                <w:color w:val="auto"/>
                <w:sz w:val="24"/>
                <w:szCs w:val="24"/>
              </w:rPr>
            </w:pPr>
          </w:p>
          <w:p>
            <w:pPr>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因排课、组考不当造成场室使用冲突，未能在</w:t>
            </w:r>
            <w:r>
              <w:rPr>
                <w:rFonts w:ascii="宋体" w:hAnsi="宋体" w:eastAsia="宋体" w:cs="Times New Roman"/>
                <w:color w:val="auto"/>
                <w:sz w:val="24"/>
                <w:szCs w:val="24"/>
              </w:rPr>
              <w:t>15</w:t>
            </w:r>
            <w:r>
              <w:rPr>
                <w:rFonts w:hint="eastAsia" w:ascii="宋体" w:hAnsi="宋体" w:eastAsia="宋体" w:cs="Times New Roman"/>
                <w:color w:val="auto"/>
                <w:sz w:val="24"/>
                <w:szCs w:val="24"/>
              </w:rPr>
              <w:t>分钟内妥善处理</w:t>
            </w:r>
            <w:r>
              <w:rPr>
                <w:rFonts w:ascii="宋体" w:hAnsi="宋体" w:eastAsia="宋体" w:cs="Times New Roman"/>
                <w:color w:val="auto"/>
                <w:sz w:val="24"/>
                <w:szCs w:val="24"/>
              </w:rPr>
              <w:t>(</w:t>
            </w:r>
            <w:r>
              <w:rPr>
                <w:rFonts w:hint="eastAsia" w:ascii="宋体" w:hAnsi="宋体" w:eastAsia="宋体" w:cs="Times New Roman"/>
                <w:color w:val="auto"/>
                <w:sz w:val="24"/>
                <w:szCs w:val="24"/>
              </w:rPr>
              <w:t>特殊情况除外</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p>
        </w:tc>
        <w:tc>
          <w:tcPr>
            <w:tcW w:w="579" w:type="dxa"/>
            <w:tcBorders>
              <w:top w:val="single" w:color="auto" w:sz="4" w:space="0"/>
              <w:left w:val="single" w:color="auto" w:sz="6" w:space="0"/>
              <w:bottom w:val="single" w:color="auto" w:sz="4"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480" w:hRule="atLeast"/>
        </w:trPr>
        <w:tc>
          <w:tcPr>
            <w:tcW w:w="578" w:type="dxa"/>
            <w:vMerge w:val="continue"/>
            <w:tcBorders>
              <w:left w:val="single" w:color="auto" w:sz="6"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p>
        </w:tc>
        <w:tc>
          <w:tcPr>
            <w:tcW w:w="878" w:type="dxa"/>
            <w:tcBorders>
              <w:top w:val="single" w:color="auto" w:sz="4" w:space="0"/>
              <w:left w:val="single" w:color="auto" w:sz="6" w:space="0"/>
              <w:bottom w:val="single" w:color="auto" w:sz="4" w:space="0"/>
              <w:right w:val="single" w:color="auto" w:sz="6" w:space="0"/>
            </w:tcBorders>
            <w:noWrap w:val="0"/>
            <w:vAlign w:val="center"/>
          </w:tcPr>
          <w:p>
            <w:pPr>
              <w:rPr>
                <w:rFonts w:ascii="宋体" w:hAnsi="宋体" w:eastAsia="宋体" w:cs="Times New Roman"/>
                <w:color w:val="auto"/>
                <w:sz w:val="24"/>
                <w:szCs w:val="24"/>
              </w:rPr>
            </w:pPr>
            <w:r>
              <w:rPr>
                <w:rFonts w:ascii="宋体" w:hAnsi="宋体" w:eastAsia="宋体" w:cs="Times New Roman"/>
                <w:color w:val="auto"/>
                <w:sz w:val="24"/>
                <w:szCs w:val="24"/>
              </w:rPr>
              <w:t>4-4</w:t>
            </w:r>
          </w:p>
        </w:tc>
        <w:tc>
          <w:tcPr>
            <w:tcW w:w="6739"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不经</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批准，擅自叫学生停课或随意使用自修课</w:t>
            </w:r>
          </w:p>
        </w:tc>
        <w:tc>
          <w:tcPr>
            <w:tcW w:w="579" w:type="dxa"/>
            <w:tcBorders>
              <w:top w:val="single" w:color="auto" w:sz="4" w:space="0"/>
              <w:left w:val="single" w:color="auto" w:sz="6" w:space="0"/>
              <w:bottom w:val="single" w:color="auto" w:sz="4"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tc>
      </w:tr>
      <w:tr>
        <w:tblPrEx>
          <w:tblLayout w:type="fixed"/>
          <w:tblCellMar>
            <w:top w:w="0" w:type="dxa"/>
            <w:left w:w="108" w:type="dxa"/>
            <w:bottom w:w="0" w:type="dxa"/>
            <w:right w:w="108" w:type="dxa"/>
          </w:tblCellMar>
        </w:tblPrEx>
        <w:trPr>
          <w:cantSplit/>
          <w:trHeight w:val="450" w:hRule="atLeast"/>
        </w:trPr>
        <w:tc>
          <w:tcPr>
            <w:tcW w:w="578" w:type="dxa"/>
            <w:vMerge w:val="continue"/>
            <w:tcBorders>
              <w:left w:val="single" w:color="auto" w:sz="6"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p>
        </w:tc>
        <w:tc>
          <w:tcPr>
            <w:tcW w:w="878"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 xml:space="preserve"> 4-5</w:t>
            </w:r>
          </w:p>
        </w:tc>
        <w:tc>
          <w:tcPr>
            <w:tcW w:w="6739"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多媒体教室、专业教室、实验（实训）室管理人员疏忽，造成上课</w:t>
            </w:r>
          </w:p>
          <w:p>
            <w:pPr>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或考试延迟：</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1.10</w:t>
            </w:r>
            <w:r>
              <w:rPr>
                <w:rFonts w:hint="eastAsia" w:ascii="宋体" w:hAnsi="宋体" w:eastAsia="宋体" w:cs="Times New Roman"/>
                <w:color w:val="auto"/>
                <w:sz w:val="24"/>
                <w:szCs w:val="24"/>
              </w:rPr>
              <w:t>分钟以内</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2.10-20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r>
              <w:rPr>
                <w:rFonts w:hint="eastAsia" w:ascii="宋体" w:hAnsi="宋体" w:eastAsia="宋体" w:cs="Times New Roman"/>
                <w:color w:val="auto"/>
                <w:sz w:val="24"/>
                <w:szCs w:val="24"/>
              </w:rPr>
              <w:t>含</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r>
              <w:rPr>
                <w:rFonts w:ascii="宋体" w:hAnsi="宋体" w:eastAsia="宋体" w:cs="Times New Roman"/>
                <w:color w:val="auto"/>
                <w:sz w:val="24"/>
                <w:szCs w:val="24"/>
              </w:rPr>
              <w:t>)</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超过</w:t>
            </w:r>
            <w:r>
              <w:rPr>
                <w:rFonts w:ascii="宋体" w:hAnsi="宋体" w:eastAsia="宋体" w:cs="Times New Roman"/>
                <w:color w:val="auto"/>
                <w:sz w:val="24"/>
                <w:szCs w:val="24"/>
              </w:rPr>
              <w:t>20</w:t>
            </w:r>
            <w:r>
              <w:rPr>
                <w:rFonts w:hint="eastAsia" w:ascii="宋体" w:hAnsi="宋体" w:eastAsia="宋体" w:cs="Times New Roman"/>
                <w:color w:val="auto"/>
                <w:sz w:val="24"/>
                <w:szCs w:val="24"/>
              </w:rPr>
              <w:t>分钟</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w:t>
            </w:r>
            <w:r>
              <w:rPr>
                <w:rFonts w:hint="eastAsia" w:ascii="宋体" w:hAnsi="宋体" w:eastAsia="宋体" w:cs="Times New Roman"/>
                <w:color w:val="auto"/>
                <w:sz w:val="24"/>
                <w:szCs w:val="24"/>
              </w:rPr>
              <w:t>教师课后未关好多媒体等</w:t>
            </w:r>
          </w:p>
        </w:tc>
        <w:tc>
          <w:tcPr>
            <w:tcW w:w="579"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三</w:t>
            </w: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450" w:hRule="atLeast"/>
        </w:trPr>
        <w:tc>
          <w:tcPr>
            <w:tcW w:w="578" w:type="dxa"/>
            <w:vMerge w:val="continue"/>
            <w:tcBorders>
              <w:left w:val="single" w:color="auto" w:sz="6" w:space="0"/>
              <w:right w:val="single" w:color="auto" w:sz="6" w:space="0"/>
            </w:tcBorders>
            <w:noWrap w:val="0"/>
            <w:vAlign w:val="center"/>
          </w:tcPr>
          <w:p>
            <w:pPr>
              <w:ind w:firstLine="476" w:firstLineChars="200"/>
              <w:rPr>
                <w:rFonts w:ascii="宋体" w:hAnsi="Calibri" w:eastAsia="宋体" w:cs="Times New Roman"/>
                <w:color w:val="auto"/>
                <w:spacing w:val="-1"/>
                <w:sz w:val="24"/>
                <w:szCs w:val="24"/>
              </w:rPr>
            </w:pPr>
          </w:p>
        </w:tc>
        <w:tc>
          <w:tcPr>
            <w:tcW w:w="878"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 xml:space="preserve"> 4-6</w:t>
            </w:r>
          </w:p>
        </w:tc>
        <w:tc>
          <w:tcPr>
            <w:tcW w:w="6739" w:type="dxa"/>
            <w:tcBorders>
              <w:top w:val="single" w:color="auto" w:sz="4" w:space="0"/>
              <w:left w:val="single" w:color="auto" w:sz="6" w:space="0"/>
              <w:bottom w:val="single" w:color="auto" w:sz="4" w:space="0"/>
              <w:right w:val="single" w:color="auto" w:sz="6" w:space="0"/>
            </w:tcBorders>
            <w:noWrap w:val="0"/>
            <w:vAlign w:val="center"/>
          </w:tcPr>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主任、组长未及时向组员传达各项教务下达的通知、任务等</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不按时发放开课计划，包括教学进程表、课表、考试考查安排表等</w:t>
            </w:r>
          </w:p>
          <w:p>
            <w:pPr>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主任、</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、不按规定时间审批授课计划</w:t>
            </w:r>
          </w:p>
        </w:tc>
        <w:tc>
          <w:tcPr>
            <w:tcW w:w="579" w:type="dxa"/>
            <w:tcBorders>
              <w:top w:val="single" w:color="auto" w:sz="4" w:space="0"/>
              <w:left w:val="single" w:color="auto" w:sz="6" w:space="0"/>
              <w:bottom w:val="single" w:color="auto" w:sz="4" w:space="0"/>
              <w:right w:val="single" w:color="auto" w:sz="6" w:space="0"/>
            </w:tcBorders>
            <w:noWrap w:val="0"/>
            <w:vAlign w:val="center"/>
          </w:tcPr>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p>
            <w:pPr>
              <w:ind w:firstLine="480" w:firstLineChars="200"/>
              <w:rPr>
                <w:rFonts w:ascii="宋体" w:hAnsi="Calibri"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四</w:t>
            </w:r>
          </w:p>
          <w:p>
            <w:pPr>
              <w:rPr>
                <w:rFonts w:ascii="宋体" w:hAnsi="宋体" w:eastAsia="宋体" w:cs="Times New Roman"/>
                <w:color w:val="auto"/>
                <w:sz w:val="24"/>
                <w:szCs w:val="24"/>
              </w:rPr>
            </w:pPr>
          </w:p>
          <w:p>
            <w:pPr>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r>
        <w:tblPrEx>
          <w:tblLayout w:type="fixed"/>
          <w:tblCellMar>
            <w:top w:w="0" w:type="dxa"/>
            <w:left w:w="108" w:type="dxa"/>
            <w:bottom w:w="0" w:type="dxa"/>
            <w:right w:w="108" w:type="dxa"/>
          </w:tblCellMar>
        </w:tblPrEx>
        <w:trPr>
          <w:cantSplit/>
          <w:trHeight w:val="855" w:hRule="atLeast"/>
        </w:trPr>
        <w:tc>
          <w:tcPr>
            <w:tcW w:w="578" w:type="dxa"/>
            <w:vMerge w:val="continue"/>
            <w:tcBorders>
              <w:left w:val="single" w:color="auto" w:sz="6" w:space="0"/>
              <w:bottom w:val="single" w:color="auto" w:sz="6" w:space="0"/>
              <w:right w:val="single" w:color="auto" w:sz="6" w:space="0"/>
            </w:tcBorders>
            <w:noWrap w:val="0"/>
            <w:vAlign w:val="center"/>
          </w:tcPr>
          <w:p>
            <w:pPr>
              <w:spacing w:line="312" w:lineRule="auto"/>
              <w:ind w:firstLine="476" w:firstLineChars="200"/>
              <w:rPr>
                <w:rFonts w:ascii="宋体" w:hAnsi="Calibri" w:eastAsia="宋体" w:cs="Times New Roman"/>
                <w:color w:val="auto"/>
                <w:spacing w:val="-1"/>
                <w:sz w:val="24"/>
                <w:szCs w:val="24"/>
              </w:rPr>
            </w:pPr>
          </w:p>
        </w:tc>
        <w:tc>
          <w:tcPr>
            <w:tcW w:w="878" w:type="dxa"/>
            <w:tcBorders>
              <w:top w:val="single" w:color="auto" w:sz="4" w:space="0"/>
              <w:left w:val="single" w:color="auto" w:sz="6" w:space="0"/>
              <w:bottom w:val="single" w:color="auto" w:sz="6" w:space="0"/>
              <w:right w:val="single" w:color="auto" w:sz="6" w:space="0"/>
            </w:tcBorders>
            <w:noWrap w:val="0"/>
            <w:vAlign w:val="center"/>
          </w:tcPr>
          <w:p>
            <w:pPr>
              <w:spacing w:line="312" w:lineRule="auto"/>
              <w:ind w:firstLine="480" w:firstLineChars="200"/>
              <w:rPr>
                <w:rFonts w:ascii="宋体" w:hAnsi="Calibri" w:eastAsia="宋体" w:cs="Times New Roman"/>
                <w:color w:val="auto"/>
                <w:sz w:val="24"/>
                <w:szCs w:val="24"/>
              </w:rPr>
            </w:pPr>
          </w:p>
          <w:p>
            <w:pPr>
              <w:spacing w:line="312"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 xml:space="preserve"> 4-7</w:t>
            </w:r>
          </w:p>
        </w:tc>
        <w:tc>
          <w:tcPr>
            <w:tcW w:w="6739" w:type="dxa"/>
            <w:tcBorders>
              <w:top w:val="single" w:color="auto" w:sz="4" w:space="0"/>
              <w:left w:val="single" w:color="auto" w:sz="6" w:space="0"/>
              <w:bottom w:val="single" w:color="auto" w:sz="6" w:space="0"/>
              <w:right w:val="single" w:color="auto" w:sz="6" w:space="0"/>
            </w:tcBorders>
            <w:noWrap w:val="0"/>
            <w:vAlign w:val="center"/>
          </w:tcPr>
          <w:p>
            <w:pPr>
              <w:spacing w:line="312"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任课教师、班主任未按规定保存好</w:t>
            </w:r>
            <w:r>
              <w:rPr>
                <w:rFonts w:ascii="宋体" w:hAnsi="宋体" w:eastAsia="宋体" w:cs="Times New Roman"/>
                <w:color w:val="auto"/>
                <w:sz w:val="24"/>
                <w:szCs w:val="24"/>
              </w:rPr>
              <w:t>(</w:t>
            </w:r>
            <w:r>
              <w:rPr>
                <w:rFonts w:hint="eastAsia" w:ascii="宋体" w:hAnsi="宋体" w:eastAsia="宋体" w:cs="Times New Roman"/>
                <w:color w:val="auto"/>
                <w:sz w:val="24"/>
                <w:szCs w:val="24"/>
              </w:rPr>
              <w:t>一般保存至学生领取毕业证后一年</w:t>
            </w:r>
            <w:r>
              <w:rPr>
                <w:rFonts w:ascii="宋体" w:hAnsi="宋体" w:eastAsia="宋体" w:cs="Times New Roman"/>
                <w:color w:val="auto"/>
                <w:sz w:val="24"/>
                <w:szCs w:val="24"/>
              </w:rPr>
              <w:t>)</w:t>
            </w:r>
            <w:r>
              <w:rPr>
                <w:rFonts w:hint="eastAsia" w:ascii="宋体" w:hAnsi="宋体" w:eastAsia="宋体" w:cs="Times New Roman"/>
                <w:color w:val="auto"/>
                <w:sz w:val="24"/>
                <w:szCs w:val="24"/>
              </w:rPr>
              <w:t>有关教学资料</w:t>
            </w:r>
            <w:r>
              <w:rPr>
                <w:rFonts w:ascii="宋体" w:hAnsi="宋体" w:eastAsia="宋体" w:cs="Times New Roman"/>
                <w:color w:val="auto"/>
                <w:sz w:val="24"/>
                <w:szCs w:val="24"/>
              </w:rPr>
              <w:t>(</w:t>
            </w:r>
            <w:r>
              <w:rPr>
                <w:rFonts w:hint="eastAsia" w:ascii="宋体" w:hAnsi="宋体" w:eastAsia="宋体" w:cs="Times New Roman"/>
                <w:color w:val="auto"/>
                <w:sz w:val="24"/>
                <w:szCs w:val="24"/>
              </w:rPr>
              <w:t>成绩、作业、试卷等</w:t>
            </w:r>
            <w:r>
              <w:rPr>
                <w:rFonts w:ascii="宋体" w:hAnsi="宋体" w:eastAsia="宋体" w:cs="Times New Roman"/>
                <w:color w:val="auto"/>
                <w:sz w:val="24"/>
                <w:szCs w:val="24"/>
              </w:rPr>
              <w:t>)</w:t>
            </w:r>
          </w:p>
        </w:tc>
        <w:tc>
          <w:tcPr>
            <w:tcW w:w="579" w:type="dxa"/>
            <w:tcBorders>
              <w:top w:val="single" w:color="auto" w:sz="4" w:space="0"/>
              <w:left w:val="single" w:color="auto" w:sz="6" w:space="0"/>
              <w:bottom w:val="single" w:color="auto" w:sz="6" w:space="0"/>
              <w:right w:val="single" w:color="auto" w:sz="6" w:space="0"/>
            </w:tcBorders>
            <w:noWrap w:val="0"/>
            <w:vAlign w:val="center"/>
          </w:tcPr>
          <w:p>
            <w:pPr>
              <w:spacing w:line="312" w:lineRule="auto"/>
              <w:rPr>
                <w:rFonts w:ascii="宋体" w:hAnsi="Calibri" w:eastAsia="宋体" w:cs="Times New Roman"/>
                <w:color w:val="auto"/>
                <w:sz w:val="24"/>
                <w:szCs w:val="24"/>
              </w:rPr>
            </w:pPr>
            <w:r>
              <w:rPr>
                <w:rFonts w:hint="eastAsia" w:ascii="宋体" w:hAnsi="宋体" w:eastAsia="宋体" w:cs="Times New Roman"/>
                <w:color w:val="auto"/>
                <w:sz w:val="24"/>
                <w:szCs w:val="24"/>
              </w:rPr>
              <w:t>五</w:t>
            </w:r>
          </w:p>
        </w:tc>
      </w:tr>
    </w:tbl>
    <w:p>
      <w:pPr>
        <w:spacing w:line="360" w:lineRule="auto"/>
        <w:rPr>
          <w:rFonts w:ascii="宋体" w:hAnsi="Calibri" w:eastAsia="宋体" w:cs="Times New Roman"/>
          <w:color w:val="auto"/>
          <w:sz w:val="24"/>
        </w:rPr>
      </w:pPr>
    </w:p>
    <w:p>
      <w:pPr>
        <w:rPr>
          <w:rFonts w:ascii="Calibri" w:hAnsi="Calibri" w:eastAsia="宋体" w:cs="Times New Roman"/>
          <w:color w:val="auto"/>
        </w:rPr>
      </w:pPr>
      <w:r>
        <w:rPr>
          <w:rFonts w:ascii="Calibri" w:hAnsi="Calibri" w:eastAsia="宋体" w:cs="Times New Roman"/>
          <w:color w:val="auto"/>
        </w:rPr>
        <w:br w:type="page"/>
      </w:r>
    </w:p>
    <w:p>
      <w:pPr>
        <w:widowControl/>
        <w:jc w:val="left"/>
        <w:rPr>
          <w:rFonts w:ascii="宋体" w:hAnsi="Calibri" w:eastAsia="宋体" w:cs="Times New Roman"/>
          <w:color w:val="auto"/>
          <w:sz w:val="24"/>
        </w:rPr>
      </w:pPr>
    </w:p>
    <w:p>
      <w:pPr>
        <w:numPr>
          <w:ilvl w:val="0"/>
          <w:numId w:val="16"/>
        </w:numPr>
        <w:spacing w:line="360" w:lineRule="auto"/>
        <w:ind w:left="0"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教学事故的认定</w:t>
      </w:r>
    </w:p>
    <w:p>
      <w:pPr>
        <w:widowControl w:val="0"/>
        <w:numPr>
          <w:ilvl w:val="3"/>
          <w:numId w:val="19"/>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教学事故的认定程序实行三级认定，即：</w:t>
      </w:r>
    </w:p>
    <w:p>
      <w:pPr>
        <w:widowControl w:val="0"/>
        <w:numPr>
          <w:ilvl w:val="0"/>
          <w:numId w:val="20"/>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教学事故（差错）发生或发现后，二级学院，教务部应分别及时派出调查人员（以当日巡课人员为主</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向当事人、知情人及当事人所在的部门进行双调查、双核实，完成一级认定。</w:t>
      </w:r>
    </w:p>
    <w:p>
      <w:pPr>
        <w:widowControl w:val="0"/>
        <w:numPr>
          <w:ilvl w:val="0"/>
          <w:numId w:val="20"/>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教务部会同组织人事部</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办公室</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及当事人所在教研室，二级学院对调查人员上报的材料进行调查核实，作出二级认定。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四级和五级教学差错由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派出的调查组作出一级认定后，</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应会同人事部门进行审核，作出二级认定及处理意见，报主管副院长批准后执行。四级和五级教学差错当事人，若对一、二级认定和处理意见有异议者，可向教学副院长提出申诉，由教学副院长作出三级认定意见。</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一、二、三级教学事故由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派出的调查组作出一级认定后，</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会同人事部门及相关处室或部门共同审核，作出二级认定并报主管副院长，主管副院长根据需要提请院长办公会议讨论</w:t>
      </w:r>
      <w:r>
        <w:rPr>
          <w:rFonts w:ascii="宋体" w:hAnsi="宋体" w:eastAsia="宋体" w:cs="Times New Roman"/>
          <w:color w:val="auto"/>
          <w:sz w:val="24"/>
          <w:szCs w:val="24"/>
        </w:rPr>
        <w:t>(</w:t>
      </w:r>
      <w:r>
        <w:rPr>
          <w:rFonts w:hint="eastAsia" w:ascii="宋体" w:hAnsi="宋体" w:eastAsia="宋体" w:cs="Times New Roman"/>
          <w:color w:val="auto"/>
          <w:sz w:val="24"/>
          <w:szCs w:val="24"/>
        </w:rPr>
        <w:t>三级认定</w:t>
      </w:r>
      <w:r>
        <w:rPr>
          <w:rFonts w:ascii="宋体" w:hAnsi="宋体" w:eastAsia="宋体" w:cs="Times New Roman"/>
          <w:color w:val="auto"/>
          <w:sz w:val="24"/>
          <w:szCs w:val="24"/>
        </w:rPr>
        <w:t>)</w:t>
      </w:r>
      <w:r>
        <w:rPr>
          <w:rFonts w:hint="eastAsia" w:ascii="宋体" w:hAnsi="宋体" w:eastAsia="宋体" w:cs="Times New Roman"/>
          <w:color w:val="auto"/>
          <w:sz w:val="24"/>
          <w:szCs w:val="24"/>
        </w:rPr>
        <w:t>。</w:t>
      </w:r>
    </w:p>
    <w:p>
      <w:pPr>
        <w:widowControl w:val="0"/>
        <w:numPr>
          <w:ilvl w:val="3"/>
          <w:numId w:val="19"/>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学院教务管理部门要统一制订《教学事故认定登记表》，作为重要的教学档案，指定专人管理。认定为</w:t>
      </w:r>
      <w:r>
        <w:rPr>
          <w:rFonts w:ascii="宋体" w:hAnsi="宋体" w:eastAsia="宋体" w:cs="Times New Roman"/>
          <w:color w:val="auto"/>
          <w:kern w:val="2"/>
          <w:sz w:val="24"/>
          <w:szCs w:val="24"/>
          <w:lang w:val="en-US" w:eastAsia="zh-CN" w:bidi="ar-SA"/>
        </w:rPr>
        <w:t>1—2</w:t>
      </w:r>
      <w:r>
        <w:rPr>
          <w:rFonts w:hint="eastAsia" w:ascii="宋体" w:hAnsi="宋体" w:eastAsia="宋体" w:cs="Times New Roman"/>
          <w:color w:val="auto"/>
          <w:kern w:val="2"/>
          <w:sz w:val="24"/>
          <w:szCs w:val="24"/>
          <w:lang w:val="en-US" w:eastAsia="zh-CN" w:bidi="ar-SA"/>
        </w:rPr>
        <w:t>级教学事故的，《教学事故认定登记表》一式两份，一份存入责任人个人业务档案，一份存入个人人事档案；</w:t>
      </w:r>
      <w:r>
        <w:rPr>
          <w:rFonts w:ascii="宋体" w:hAnsi="宋体" w:eastAsia="宋体" w:cs="Times New Roman"/>
          <w:color w:val="auto"/>
          <w:kern w:val="2"/>
          <w:sz w:val="24"/>
          <w:szCs w:val="24"/>
          <w:lang w:val="en-US" w:eastAsia="zh-CN" w:bidi="ar-SA"/>
        </w:rPr>
        <w:t>3—5</w:t>
      </w:r>
      <w:r>
        <w:rPr>
          <w:rFonts w:hint="eastAsia" w:ascii="宋体" w:hAnsi="宋体" w:eastAsia="宋体" w:cs="Times New Roman"/>
          <w:color w:val="auto"/>
          <w:kern w:val="2"/>
          <w:sz w:val="24"/>
          <w:szCs w:val="24"/>
          <w:lang w:val="en-US" w:eastAsia="zh-CN" w:bidi="ar-SA"/>
        </w:rPr>
        <w:t>级教学事故（差错）不入人事档案。</w:t>
      </w:r>
    </w:p>
    <w:p>
      <w:pPr>
        <w:widowControl w:val="0"/>
        <w:numPr>
          <w:ilvl w:val="3"/>
          <w:numId w:val="19"/>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教学事故（差错）经教务管理部门派出的调查人员查实后，应在事故发生后的</w:t>
      </w: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天内报教务部。一、二级教学事故，应附上有关责任人或知情人的书面报告材料。</w:t>
      </w:r>
    </w:p>
    <w:p>
      <w:pPr>
        <w:widowControl w:val="0"/>
        <w:numPr>
          <w:ilvl w:val="3"/>
          <w:numId w:val="19"/>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事故（差错）责任人原则上应在事故发生后立即主动向所在教研室、二级学院及教务部或主管处室报告，并配合有关部门采取措施，尽量减少事故所造成的损失。对教学事故（差错）采取隐瞒、拖延、阻挠等行为者，都同被认定为新的教学事故。</w:t>
      </w:r>
    </w:p>
    <w:p>
      <w:pPr>
        <w:widowControl w:val="0"/>
        <w:numPr>
          <w:ilvl w:val="3"/>
          <w:numId w:val="19"/>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教务部或学院派出的教学事故（差错）调查人员及被调查人员，应做到实事求是、秉公办事。任何人不得捏造或歪曲事实、有意诬告或徇私包庇、公报私仇、打击报复，违者将根据情节轻重给予行政处分。</w:t>
      </w:r>
    </w:p>
    <w:p>
      <w:pPr>
        <w:numPr>
          <w:ilvl w:val="0"/>
          <w:numId w:val="16"/>
        </w:numPr>
        <w:spacing w:line="360" w:lineRule="auto"/>
        <w:ind w:left="0"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教学事故的处理</w:t>
      </w:r>
    </w:p>
    <w:p>
      <w:pPr>
        <w:widowControl w:val="0"/>
        <w:numPr>
          <w:ilvl w:val="3"/>
          <w:numId w:val="21"/>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一级教学事故，由学院对事故责任人给予党纪、政纪处分。若教学事故造成学生人身伤害的，按教育部《学生伤害事故处理办法》执行；教学事故责任人触犯刑律的，应当移送司法机关依法追究其刑事责任。</w:t>
      </w:r>
    </w:p>
    <w:p>
      <w:pPr>
        <w:widowControl w:val="0"/>
        <w:numPr>
          <w:ilvl w:val="3"/>
          <w:numId w:val="21"/>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二级教学事故，学院给予事故责任人以下处理：每次</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宗</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扣发奖金</w:t>
      </w:r>
      <w:r>
        <w:rPr>
          <w:rFonts w:ascii="宋体" w:hAnsi="宋体" w:eastAsia="宋体" w:cs="Times New Roman"/>
          <w:color w:val="auto"/>
          <w:kern w:val="2"/>
          <w:sz w:val="24"/>
          <w:szCs w:val="24"/>
          <w:lang w:val="en-US" w:eastAsia="zh-CN" w:bidi="ar-SA"/>
        </w:rPr>
        <w:t>1000</w:t>
      </w:r>
      <w:r>
        <w:rPr>
          <w:rFonts w:hint="eastAsia" w:ascii="宋体" w:hAnsi="宋体" w:eastAsia="宋体" w:cs="Times New Roman"/>
          <w:color w:val="auto"/>
          <w:kern w:val="2"/>
          <w:sz w:val="24"/>
          <w:szCs w:val="24"/>
          <w:lang w:val="en-US" w:eastAsia="zh-CN" w:bidi="ar-SA"/>
        </w:rPr>
        <w:t>元；在全院范围内通报；本年度考核</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教学业务、人事等</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均视为不称职</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不合格</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，不得被评为优秀、先进，不得被提拔任用、职称晋升。</w:t>
      </w:r>
    </w:p>
    <w:p>
      <w:pPr>
        <w:widowControl w:val="0"/>
        <w:numPr>
          <w:ilvl w:val="3"/>
          <w:numId w:val="21"/>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教师一学年内出现二级教学事故</w:t>
      </w:r>
      <w:r>
        <w:rPr>
          <w:rFonts w:ascii="宋体" w:hAnsi="宋体" w:eastAsia="宋体" w:cs="Times New Roman"/>
          <w:color w:val="auto"/>
          <w:kern w:val="2"/>
          <w:sz w:val="24"/>
          <w:szCs w:val="24"/>
          <w:lang w:val="en-US" w:eastAsia="zh-CN" w:bidi="ar-SA"/>
        </w:rPr>
        <w:t>2</w:t>
      </w:r>
      <w:r>
        <w:rPr>
          <w:rFonts w:hint="eastAsia" w:ascii="宋体" w:hAnsi="宋体" w:eastAsia="宋体" w:cs="Times New Roman"/>
          <w:color w:val="auto"/>
          <w:kern w:val="2"/>
          <w:sz w:val="24"/>
          <w:szCs w:val="24"/>
          <w:lang w:val="en-US" w:eastAsia="zh-CN" w:bidi="ar-SA"/>
        </w:rPr>
        <w:t>次以上的，除给予以上行政处分外，调离教师岗位。一年后，经其本人提出申请并经学院批准，可重返教师工期作岗位</w:t>
      </w:r>
    </w:p>
    <w:p>
      <w:pPr>
        <w:widowControl w:val="0"/>
        <w:numPr>
          <w:ilvl w:val="3"/>
          <w:numId w:val="21"/>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三级教学事故，学院给予事故责任人以下处理：每次</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宗</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扣发奖金</w:t>
      </w:r>
      <w:r>
        <w:rPr>
          <w:rFonts w:ascii="宋体" w:hAnsi="宋体" w:eastAsia="宋体" w:cs="Times New Roman"/>
          <w:color w:val="auto"/>
          <w:kern w:val="2"/>
          <w:sz w:val="24"/>
          <w:szCs w:val="24"/>
          <w:lang w:val="en-US" w:eastAsia="zh-CN" w:bidi="ar-SA"/>
        </w:rPr>
        <w:t>200</w:t>
      </w:r>
      <w:r>
        <w:rPr>
          <w:rFonts w:hint="eastAsia" w:ascii="宋体" w:hAnsi="宋体" w:eastAsia="宋体" w:cs="Times New Roman"/>
          <w:color w:val="auto"/>
          <w:kern w:val="2"/>
          <w:sz w:val="24"/>
          <w:szCs w:val="24"/>
          <w:lang w:val="en-US" w:eastAsia="zh-CN" w:bidi="ar-SA"/>
        </w:rPr>
        <w:t>元：在全院教师范围内通报；本年度不得被评为优秀、先进。</w:t>
      </w:r>
    </w:p>
    <w:p>
      <w:pPr>
        <w:widowControl w:val="0"/>
        <w:numPr>
          <w:ilvl w:val="3"/>
          <w:numId w:val="21"/>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四级教学差错，学院给予事故责任人以下处理：学院给予批评教育，在相应的教研组范围内通报：每次</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宗</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扣发奖金</w:t>
      </w:r>
      <w:r>
        <w:rPr>
          <w:rFonts w:ascii="宋体" w:hAnsi="宋体" w:eastAsia="宋体" w:cs="Times New Roman"/>
          <w:color w:val="auto"/>
          <w:kern w:val="2"/>
          <w:sz w:val="24"/>
          <w:szCs w:val="24"/>
          <w:lang w:val="en-US" w:eastAsia="zh-CN" w:bidi="ar-SA"/>
        </w:rPr>
        <w:t>lOO</w:t>
      </w:r>
      <w:r>
        <w:rPr>
          <w:rFonts w:hint="eastAsia" w:ascii="宋体" w:hAnsi="宋体" w:eastAsia="宋体" w:cs="Times New Roman"/>
          <w:color w:val="auto"/>
          <w:kern w:val="2"/>
          <w:sz w:val="24"/>
          <w:szCs w:val="24"/>
          <w:lang w:val="en-US" w:eastAsia="zh-CN" w:bidi="ar-SA"/>
        </w:rPr>
        <w:t>元；一学年内发生四级教学事故</w:t>
      </w:r>
      <w:r>
        <w:rPr>
          <w:rFonts w:ascii="宋体" w:hAnsi="宋体" w:eastAsia="宋体" w:cs="Times New Roman"/>
          <w:color w:val="auto"/>
          <w:kern w:val="2"/>
          <w:sz w:val="24"/>
          <w:szCs w:val="24"/>
          <w:lang w:val="en-US" w:eastAsia="zh-CN" w:bidi="ar-SA"/>
        </w:rPr>
        <w:t>2</w:t>
      </w:r>
      <w:r>
        <w:rPr>
          <w:rFonts w:hint="eastAsia" w:ascii="宋体" w:hAnsi="宋体" w:eastAsia="宋体" w:cs="Times New Roman"/>
          <w:color w:val="auto"/>
          <w:kern w:val="2"/>
          <w:sz w:val="24"/>
          <w:szCs w:val="24"/>
          <w:lang w:val="en-US" w:eastAsia="zh-CN" w:bidi="ar-SA"/>
        </w:rPr>
        <w:t>次以上</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不含</w:t>
      </w:r>
      <w:r>
        <w:rPr>
          <w:rFonts w:ascii="宋体" w:hAnsi="宋体" w:eastAsia="宋体" w:cs="Times New Roman"/>
          <w:color w:val="auto"/>
          <w:kern w:val="2"/>
          <w:sz w:val="24"/>
          <w:szCs w:val="24"/>
          <w:lang w:val="en-US" w:eastAsia="zh-CN" w:bidi="ar-SA"/>
        </w:rPr>
        <w:t>2</w:t>
      </w:r>
      <w:r>
        <w:rPr>
          <w:rFonts w:hint="eastAsia" w:ascii="宋体" w:hAnsi="宋体" w:eastAsia="宋体" w:cs="Times New Roman"/>
          <w:color w:val="auto"/>
          <w:kern w:val="2"/>
          <w:sz w:val="24"/>
          <w:szCs w:val="24"/>
          <w:lang w:val="en-US" w:eastAsia="zh-CN" w:bidi="ar-SA"/>
        </w:rPr>
        <w:t>次</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者，本年度不得被评为优秀、先进。</w:t>
      </w:r>
      <w:r>
        <w:rPr>
          <w:rFonts w:ascii="宋体" w:hAnsi="宋体" w:eastAsia="宋体" w:cs="Times New Roman"/>
          <w:color w:val="auto"/>
          <w:kern w:val="2"/>
          <w:sz w:val="24"/>
          <w:szCs w:val="24"/>
          <w:lang w:val="en-US" w:eastAsia="zh-CN" w:bidi="ar-SA"/>
        </w:rPr>
        <w:t xml:space="preserve">   </w:t>
      </w:r>
    </w:p>
    <w:p>
      <w:pPr>
        <w:widowControl w:val="0"/>
        <w:numPr>
          <w:ilvl w:val="3"/>
          <w:numId w:val="21"/>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五级教学差错的处理；学院给予责任人批评教育；扣发奖金</w:t>
      </w:r>
      <w:r>
        <w:rPr>
          <w:rFonts w:ascii="宋体" w:hAnsi="宋体" w:eastAsia="宋体" w:cs="Times New Roman"/>
          <w:color w:val="auto"/>
          <w:kern w:val="2"/>
          <w:sz w:val="24"/>
          <w:szCs w:val="24"/>
          <w:lang w:val="en-US" w:eastAsia="zh-CN" w:bidi="ar-SA"/>
        </w:rPr>
        <w:t>50</w:t>
      </w:r>
      <w:r>
        <w:rPr>
          <w:rFonts w:hint="eastAsia" w:ascii="宋体" w:hAnsi="宋体" w:eastAsia="宋体" w:cs="Times New Roman"/>
          <w:color w:val="auto"/>
          <w:kern w:val="2"/>
          <w:sz w:val="24"/>
          <w:szCs w:val="24"/>
          <w:lang w:val="en-US" w:eastAsia="zh-CN" w:bidi="ar-SA"/>
        </w:rPr>
        <w:t>元。一学年内发生五级教学事故</w:t>
      </w: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次以上</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不含</w:t>
      </w: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次</w:t>
      </w:r>
      <w:r>
        <w:rPr>
          <w:rFonts w:ascii="宋体"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者，本年度不得被评为优秀、先进。</w:t>
      </w:r>
    </w:p>
    <w:p>
      <w:pPr>
        <w:numPr>
          <w:ilvl w:val="0"/>
          <w:numId w:val="16"/>
        </w:numPr>
        <w:spacing w:line="360" w:lineRule="auto"/>
        <w:ind w:left="0"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附则</w:t>
      </w:r>
    </w:p>
    <w:p>
      <w:pPr>
        <w:widowControl w:val="0"/>
        <w:numPr>
          <w:ilvl w:val="3"/>
          <w:numId w:val="22"/>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所有教学事故一经发生，必须及时上报，相关单位不得隐瞒事实真相。否则，追究有关人员责任，并将视情节给予通报批评、行政处分、年度考核降级、职称缓评等处理。</w:t>
      </w:r>
    </w:p>
    <w:p>
      <w:pPr>
        <w:widowControl w:val="0"/>
        <w:numPr>
          <w:ilvl w:val="3"/>
          <w:numId w:val="22"/>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若事故责任人对事故的认定和处理有不同意见，允许在接到处理通知书之日起</w:t>
      </w:r>
      <w:r>
        <w:rPr>
          <w:rFonts w:ascii="宋体" w:hAnsi="宋体" w:eastAsia="宋体" w:cs="Times New Roman"/>
          <w:color w:val="auto"/>
          <w:kern w:val="2"/>
          <w:sz w:val="24"/>
          <w:szCs w:val="24"/>
          <w:lang w:val="en-US" w:eastAsia="zh-CN" w:bidi="ar-SA"/>
        </w:rPr>
        <w:t>5</w:t>
      </w:r>
      <w:r>
        <w:rPr>
          <w:rFonts w:hint="eastAsia" w:ascii="宋体" w:hAnsi="宋体" w:eastAsia="宋体" w:cs="Times New Roman"/>
          <w:color w:val="auto"/>
          <w:kern w:val="2"/>
          <w:sz w:val="24"/>
          <w:szCs w:val="24"/>
          <w:lang w:val="en-US" w:eastAsia="zh-CN" w:bidi="ar-SA"/>
        </w:rPr>
        <w:t>个工作日内向学院提出申诉。学院应在</w:t>
      </w:r>
      <w:r>
        <w:rPr>
          <w:rFonts w:ascii="宋体" w:hAnsi="宋体" w:eastAsia="宋体" w:cs="Times New Roman"/>
          <w:color w:val="auto"/>
          <w:kern w:val="2"/>
          <w:sz w:val="24"/>
          <w:szCs w:val="24"/>
          <w:lang w:val="en-US" w:eastAsia="zh-CN" w:bidi="ar-SA"/>
        </w:rPr>
        <w:t>20</w:t>
      </w:r>
      <w:r>
        <w:rPr>
          <w:rFonts w:hint="eastAsia" w:ascii="宋体" w:hAnsi="宋体" w:eastAsia="宋体" w:cs="Times New Roman"/>
          <w:color w:val="auto"/>
          <w:kern w:val="2"/>
          <w:sz w:val="24"/>
          <w:szCs w:val="24"/>
          <w:lang w:val="en-US" w:eastAsia="zh-CN" w:bidi="ar-SA"/>
        </w:rPr>
        <w:t>个工作日内作出复议并将复议结果通知事故责任人。</w:t>
      </w:r>
    </w:p>
    <w:p>
      <w:pPr>
        <w:widowControl w:val="0"/>
        <w:numPr>
          <w:ilvl w:val="3"/>
          <w:numId w:val="22"/>
        </w:numPr>
        <w:spacing w:line="360" w:lineRule="auto"/>
        <w:ind w:left="0" w:firstLine="480" w:firstLineChars="20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周一至周五的教学事故（差错），由当日巡课人员负责调查书面报教务部，教务部调查形成意见后报主管副院长审批；周末由值班中层领导负责调查书面报教务部，教务部形成意见后报主管副院长审批。</w:t>
      </w:r>
    </w:p>
    <w:p>
      <w:pPr>
        <w:pStyle w:val="12"/>
        <w:rPr>
          <w:rFonts w:eastAsia="宋体" w:cs="Times New Roman"/>
          <w:color w:val="auto"/>
        </w:rPr>
      </w:pPr>
      <w:r>
        <w:rPr>
          <w:rFonts w:ascii="宋体" w:eastAsia="宋体" w:cs="Times New Roman"/>
          <w:color w:val="auto"/>
          <w:sz w:val="24"/>
          <w:szCs w:val="24"/>
        </w:rPr>
        <w:br w:type="page"/>
      </w:r>
      <w:bookmarkStart w:id="21" w:name="_Toc30185"/>
      <w:r>
        <w:rPr>
          <w:rStyle w:val="36"/>
          <w:rFonts w:hint="eastAsia"/>
          <w:b/>
          <w:color w:val="auto"/>
        </w:rPr>
        <w:t>教师职业技能竞赛管理制度</w:t>
      </w:r>
      <w:bookmarkEnd w:id="21"/>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职业技能竞赛是培养和提高职业能力的重要手段，是推进教学模式改革的重要方式。为了规范我院教师参加各类职业技能竞赛的管理工作，鼓励广大教师积极参加与专业教学相关的各种职业技能竞赛并取得优异成绩，特制定本管理及奖励办法如下：</w:t>
      </w:r>
    </w:p>
    <w:p>
      <w:pPr>
        <w:widowControl w:val="0"/>
        <w:numPr>
          <w:ilvl w:val="0"/>
          <w:numId w:val="23"/>
        </w:numPr>
        <w:spacing w:line="360" w:lineRule="auto"/>
        <w:ind w:left="0" w:firstLine="200" w:firstLineChars="0"/>
        <w:jc w:val="both"/>
        <w:rPr>
          <w:rFonts w:ascii="宋体" w:hAnsi="Calibri"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竞赛级别的认定</w:t>
      </w:r>
    </w:p>
    <w:p>
      <w:pPr>
        <w:widowControl w:val="0"/>
        <w:numPr>
          <w:ilvl w:val="3"/>
          <w:numId w:val="24"/>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国家级</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国家级竞赛是指由教育部、人力资源和社会保障部等政府部门组织的全国性技能竞赛；参赛选手代表广东省参加国家级比赛。</w:t>
      </w:r>
    </w:p>
    <w:p>
      <w:pPr>
        <w:widowControl w:val="0"/>
        <w:numPr>
          <w:ilvl w:val="3"/>
          <w:numId w:val="24"/>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省级</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省级竞赛是指由省教育厅、省人力资源和社会保障厅等政府部门组织的全省性技能竞赛；参赛选手代表江门市参加省级竞赛。</w:t>
      </w:r>
    </w:p>
    <w:p>
      <w:pPr>
        <w:widowControl w:val="0"/>
        <w:numPr>
          <w:ilvl w:val="3"/>
          <w:numId w:val="24"/>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市级</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市级竞赛是指江门市教育局、江门市人力资源和社会保障局等政府部门组织的全市性竞赛；以学院名义参加国家或省级政府部门委托的行业指导委员会、学术团体、协会、学会等组织的竞赛按市级竞赛评奖。</w:t>
      </w:r>
    </w:p>
    <w:p>
      <w:pPr>
        <w:widowControl w:val="0"/>
        <w:numPr>
          <w:ilvl w:val="3"/>
          <w:numId w:val="24"/>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院级</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院级是指由学院组织的本院范围内的竞赛；以学院名义参加省级以下行业指导委员会、学术团体、协会、学会等组织的竞赛按院级竞赛评奖。</w:t>
      </w:r>
    </w:p>
    <w:p>
      <w:pPr>
        <w:widowControl w:val="0"/>
        <w:numPr>
          <w:ilvl w:val="0"/>
          <w:numId w:val="23"/>
        </w:numPr>
        <w:spacing w:line="360" w:lineRule="auto"/>
        <w:ind w:left="0" w:firstLine="200" w:firstLineChars="0"/>
        <w:jc w:val="both"/>
        <w:rPr>
          <w:rFonts w:ascii="宋体" w:hAnsi="Calibri"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奖励办法</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tbl>
      <w:tblPr>
        <w:tblStyle w:val="16"/>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1800"/>
        <w:gridCol w:w="1620"/>
        <w:gridCol w:w="1656"/>
        <w:gridCol w:w="1485"/>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3" w:hRule="atLeast"/>
          <w:jc w:val="center"/>
        </w:trPr>
        <w:tc>
          <w:tcPr>
            <w:tcW w:w="569" w:type="dxa"/>
            <w:noWrap w:val="0"/>
            <w:vAlign w:val="center"/>
          </w:tcPr>
          <w:p>
            <w:pPr>
              <w:spacing w:line="360" w:lineRule="auto"/>
              <w:ind w:firstLine="480" w:firstLineChars="200"/>
              <w:jc w:val="center"/>
              <w:rPr>
                <w:rFonts w:ascii="宋体" w:hAnsi="Calibri" w:eastAsia="宋体" w:cs="Times New Roman"/>
                <w:color w:val="auto"/>
                <w:sz w:val="24"/>
                <w:szCs w:val="24"/>
              </w:rPr>
            </w:pPr>
            <w:r>
              <w:rPr>
                <w:rFonts w:hint="eastAsia" w:ascii="宋体" w:hAnsi="宋体" w:eastAsia="宋体" w:cs="Times New Roman"/>
                <w:color w:val="auto"/>
                <w:sz w:val="24"/>
                <w:szCs w:val="24"/>
              </w:rPr>
              <w:t>项项目</w:t>
            </w:r>
          </w:p>
        </w:tc>
        <w:tc>
          <w:tcPr>
            <w:tcW w:w="1800" w:type="dxa"/>
            <w:noWrap w:val="0"/>
            <w:vAlign w:val="top"/>
          </w:tcPr>
          <w:p>
            <w:pPr>
              <w:spacing w:line="360" w:lineRule="auto"/>
              <w:ind w:firstLine="420" w:firstLineChars="200"/>
              <w:rPr>
                <w:rFonts w:ascii="宋体" w:hAnsi="Calibri" w:eastAsia="宋体" w:cs="Times New Roman"/>
                <w:color w:val="auto"/>
                <w:sz w:val="24"/>
                <w:szCs w:val="24"/>
              </w:rPr>
            </w:pPr>
            <w:r>
              <w:rPr>
                <w:rFonts w:ascii="Calibri" w:hAnsi="Calibri" w:eastAsia="宋体" w:cs="Times New Roman"/>
                <w:color w:val="auto"/>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12700</wp:posOffset>
                      </wp:positionV>
                      <wp:extent cx="1133475" cy="868045"/>
                      <wp:effectExtent l="3175" t="3810" r="6350" b="444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133475" cy="868045"/>
                              </a:xfrm>
                              <a:prstGeom prst="line">
                                <a:avLst/>
                              </a:prstGeom>
                              <a:noFill/>
                              <a:ln w="6350">
                                <a:solidFill>
                                  <a:srgbClr val="000000"/>
                                </a:solidFill>
                                <a:round/>
                              </a:ln>
                              <a:effectLst/>
                            </wps:spPr>
                            <wps:bodyPr/>
                          </wps:wsp>
                        </a:graphicData>
                      </a:graphic>
                    </wp:anchor>
                  </w:drawing>
                </mc:Choice>
                <mc:Fallback>
                  <w:pict>
                    <v:line id="_x0000_s1026" o:spid="_x0000_s1026" o:spt="20" style="position:absolute;left:0pt;margin-left:-5.2pt;margin-top:1pt;height:68.35pt;width:89.25pt;z-index:251660288;mso-width-relative:page;mso-height-relative:page;" filled="f" stroked="t" coordsize="21600,21600" o:gfxdata="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iv8yldYAAAAJAQAADwAAAAAAAAABACAAAAAi&#10;AAAAZHJzL2Rvd25yZXYueG1sUEsBAhQAFAAAAAgAh07iQBVAKcfTAQAAbwMAAA4AAAAAAAAAAQAg&#10;AAAAJQEAAGRycy9lMm9Eb2MueG1sUEsFBgAAAAAGAAYAWQEAAGoFAAAAAA==&#10;">
                      <v:fill on="f" focussize="0,0"/>
                      <v:stroke weight="0.5pt" color="#000000" joinstyle="round"/>
                      <v:imagedata o:title=""/>
                      <o:lock v:ext="edit" aspectratio="f"/>
                    </v:line>
                  </w:pict>
                </mc:Fallback>
              </mc:AlternateContent>
            </w:r>
            <w:r>
              <w:rPr>
                <w:rFonts w:hint="eastAsia" w:ascii="宋体" w:hAnsi="宋体" w:eastAsia="宋体" w:cs="Times New Roman"/>
                <w:color w:val="auto"/>
                <w:sz w:val="24"/>
                <w:szCs w:val="24"/>
              </w:rPr>
              <w:t>名次</w:t>
            </w:r>
          </w:p>
          <w:p>
            <w:pPr>
              <w:spacing w:line="360" w:lineRule="auto"/>
              <w:rPr>
                <w:rFonts w:ascii="宋体" w:hAnsi="Calibri" w:eastAsia="宋体" w:cs="Times New Roman"/>
                <w:color w:val="auto"/>
                <w:sz w:val="24"/>
                <w:szCs w:val="24"/>
              </w:rPr>
            </w:pPr>
            <w:r>
              <w:rPr>
                <w:rFonts w:ascii="Calibri" w:hAnsi="Calibri" w:eastAsia="宋体" w:cs="Times New Roman"/>
                <w:color w:val="auto"/>
              </w:rPr>
              <mc:AlternateContent>
                <mc:Choice Requires="wps">
                  <w:drawing>
                    <wp:anchor distT="0" distB="0" distL="114300" distR="114300" simplePos="0" relativeHeight="251661312" behindDoc="0" locked="0" layoutInCell="1" allowOverlap="1">
                      <wp:simplePos x="0" y="0"/>
                      <wp:positionH relativeFrom="column">
                        <wp:posOffset>-66040</wp:posOffset>
                      </wp:positionH>
                      <wp:positionV relativeFrom="paragraph">
                        <wp:posOffset>265430</wp:posOffset>
                      </wp:positionV>
                      <wp:extent cx="1133475" cy="318135"/>
                      <wp:effectExtent l="1270" t="4445" r="8255" b="2032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133475" cy="318135"/>
                              </a:xfrm>
                              <a:prstGeom prst="line">
                                <a:avLst/>
                              </a:prstGeom>
                              <a:noFill/>
                              <a:ln w="6350">
                                <a:solidFill>
                                  <a:srgbClr val="000000"/>
                                </a:solidFill>
                                <a:round/>
                              </a:ln>
                              <a:effectLst/>
                            </wps:spPr>
                            <wps:bodyPr/>
                          </wps:wsp>
                        </a:graphicData>
                      </a:graphic>
                    </wp:anchor>
                  </w:drawing>
                </mc:Choice>
                <mc:Fallback>
                  <w:pict>
                    <v:line id="_x0000_s1026" o:spid="_x0000_s1026" o:spt="20" style="position:absolute;left:0pt;margin-left:-5.2pt;margin-top:20.9pt;height:25.05pt;width:89.25pt;z-index:251661312;mso-width-relative:page;mso-height-relative:page;" filled="f" stroked="t" coordsize="21600,21600" o:gfxdata="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l/Pwc9YAAAAJAQAADwAAAAAAAAABACAAAAAi&#10;AAAAZHJzL2Rvd25yZXYueG1sUEsBAhQAFAAAAAgAh07iQHGovbHTAQAAbwMAAA4AAAAAAAAAAQAg&#10;AAAAJQEAAGRycy9lMm9Eb2MueG1sUEsFBgAAAAAGAAYAWQEAAGoFAAAAAA==&#10;">
                      <v:fill on="f" focussize="0,0"/>
                      <v:stroke weight="0.5pt" color="#000000" joinstyle="round"/>
                      <v:imagedata o:title=""/>
                      <o:lock v:ext="edit" aspectratio="f"/>
                    </v:line>
                  </w:pict>
                </mc:Fallback>
              </mc:AlternateContent>
            </w:r>
            <w:r>
              <w:rPr>
                <w:rFonts w:hint="eastAsia" w:ascii="宋体" w:hAnsi="宋体" w:eastAsia="宋体" w:cs="Times New Roman"/>
                <w:color w:val="auto"/>
                <w:sz w:val="24"/>
                <w:szCs w:val="24"/>
              </w:rPr>
              <w:t>奖金</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名称</w:t>
            </w:r>
          </w:p>
        </w:tc>
        <w:tc>
          <w:tcPr>
            <w:tcW w:w="1620" w:type="dxa"/>
            <w:noWrap w:val="0"/>
            <w:vAlign w:val="center"/>
          </w:tcPr>
          <w:p>
            <w:pPr>
              <w:spacing w:line="360" w:lineRule="auto"/>
              <w:rPr>
                <w:rFonts w:ascii="宋体" w:hAnsi="Calibri" w:eastAsia="宋体" w:cs="Times New Roman"/>
                <w:color w:val="auto"/>
                <w:sz w:val="24"/>
                <w:szCs w:val="24"/>
              </w:rPr>
            </w:pPr>
            <w:r>
              <w:rPr>
                <w:rFonts w:hint="eastAsia" w:ascii="宋体" w:hAnsi="宋体" w:eastAsia="宋体" w:cs="Times New Roman"/>
                <w:color w:val="auto"/>
                <w:sz w:val="24"/>
                <w:szCs w:val="24"/>
              </w:rPr>
              <w:t>一等奖（元）</w:t>
            </w:r>
          </w:p>
        </w:tc>
        <w:tc>
          <w:tcPr>
            <w:tcW w:w="1656" w:type="dxa"/>
            <w:noWrap w:val="0"/>
            <w:vAlign w:val="center"/>
          </w:tcPr>
          <w:p>
            <w:pPr>
              <w:spacing w:line="360" w:lineRule="auto"/>
              <w:rPr>
                <w:rFonts w:ascii="宋体" w:hAnsi="Calibri" w:eastAsia="宋体" w:cs="Times New Roman"/>
                <w:color w:val="auto"/>
                <w:sz w:val="24"/>
                <w:szCs w:val="24"/>
              </w:rPr>
            </w:pPr>
            <w:r>
              <w:rPr>
                <w:rFonts w:hint="eastAsia" w:ascii="宋体" w:hAnsi="宋体" w:eastAsia="宋体" w:cs="Times New Roman"/>
                <w:color w:val="auto"/>
                <w:sz w:val="24"/>
                <w:szCs w:val="24"/>
              </w:rPr>
              <w:t>二等奖（元）</w:t>
            </w:r>
          </w:p>
        </w:tc>
        <w:tc>
          <w:tcPr>
            <w:tcW w:w="1485" w:type="dxa"/>
            <w:noWrap w:val="0"/>
            <w:vAlign w:val="center"/>
          </w:tcPr>
          <w:p>
            <w:pPr>
              <w:spacing w:line="360" w:lineRule="auto"/>
              <w:rPr>
                <w:rFonts w:ascii="宋体" w:hAnsi="Calibri" w:eastAsia="宋体" w:cs="Times New Roman"/>
                <w:color w:val="auto"/>
                <w:sz w:val="24"/>
                <w:szCs w:val="24"/>
              </w:rPr>
            </w:pPr>
            <w:r>
              <w:rPr>
                <w:rFonts w:hint="eastAsia" w:ascii="宋体" w:hAnsi="宋体" w:eastAsia="宋体" w:cs="Times New Roman"/>
                <w:color w:val="auto"/>
                <w:sz w:val="24"/>
                <w:szCs w:val="24"/>
              </w:rPr>
              <w:t>三等奖（元）</w:t>
            </w:r>
          </w:p>
        </w:tc>
        <w:tc>
          <w:tcPr>
            <w:tcW w:w="1438" w:type="dxa"/>
            <w:noWrap w:val="0"/>
            <w:vAlign w:val="center"/>
          </w:tcPr>
          <w:p>
            <w:pPr>
              <w:spacing w:line="360" w:lineRule="auto"/>
              <w:rPr>
                <w:rFonts w:ascii="宋体" w:hAnsi="Calibri" w:eastAsia="宋体" w:cs="Times New Roman"/>
                <w:color w:val="auto"/>
                <w:sz w:val="24"/>
                <w:szCs w:val="24"/>
              </w:rPr>
            </w:pPr>
            <w:r>
              <w:rPr>
                <w:rFonts w:hint="eastAsia" w:ascii="宋体" w:hAnsi="宋体" w:eastAsia="宋体" w:cs="Times New Roman"/>
                <w:color w:val="auto"/>
                <w:sz w:val="24"/>
                <w:szCs w:val="24"/>
              </w:rPr>
              <w:t>优秀奖（元）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restart"/>
            <w:noWrap w:val="0"/>
            <w:vAlign w:val="center"/>
          </w:tcPr>
          <w:p>
            <w:pPr>
              <w:spacing w:line="360" w:lineRule="auto"/>
              <w:ind w:firstLine="480" w:firstLineChars="200"/>
              <w:jc w:val="center"/>
              <w:rPr>
                <w:rFonts w:ascii="宋体" w:hAnsi="Calibri" w:eastAsia="宋体" w:cs="Times New Roman"/>
                <w:color w:val="auto"/>
                <w:sz w:val="24"/>
                <w:szCs w:val="24"/>
              </w:rPr>
            </w:pPr>
            <w:r>
              <w:rPr>
                <w:rFonts w:hint="eastAsia" w:ascii="宋体" w:hAnsi="宋体" w:eastAsia="宋体" w:cs="Times New Roman"/>
                <w:color w:val="auto"/>
                <w:sz w:val="24"/>
                <w:szCs w:val="24"/>
              </w:rPr>
              <w:t>单单项奖</w:t>
            </w: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国家级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2000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1500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1000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continue"/>
            <w:noWrap w:val="0"/>
            <w:vAlign w:val="center"/>
          </w:tcPr>
          <w:p>
            <w:pPr>
              <w:spacing w:line="360" w:lineRule="auto"/>
              <w:ind w:firstLine="480" w:firstLineChars="200"/>
              <w:jc w:val="center"/>
              <w:rPr>
                <w:rFonts w:ascii="宋体" w:hAnsi="Calibri" w:eastAsia="宋体" w:cs="Times New Roman"/>
                <w:color w:val="auto"/>
                <w:sz w:val="24"/>
                <w:szCs w:val="24"/>
              </w:rPr>
            </w:pP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省级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1000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800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continue"/>
            <w:noWrap w:val="0"/>
            <w:vAlign w:val="center"/>
          </w:tcPr>
          <w:p>
            <w:pPr>
              <w:spacing w:line="360" w:lineRule="auto"/>
              <w:ind w:firstLine="480" w:firstLineChars="200"/>
              <w:jc w:val="center"/>
              <w:rPr>
                <w:rFonts w:ascii="宋体" w:hAnsi="Calibri" w:eastAsia="宋体" w:cs="Times New Roman"/>
                <w:color w:val="auto"/>
                <w:sz w:val="24"/>
                <w:szCs w:val="24"/>
              </w:rPr>
            </w:pP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市级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continue"/>
            <w:noWrap w:val="0"/>
            <w:vAlign w:val="center"/>
          </w:tcPr>
          <w:p>
            <w:pPr>
              <w:spacing w:line="360" w:lineRule="auto"/>
              <w:ind w:firstLine="480" w:firstLineChars="200"/>
              <w:jc w:val="center"/>
              <w:rPr>
                <w:rFonts w:ascii="宋体" w:hAnsi="Calibri" w:eastAsia="宋体" w:cs="Times New Roman"/>
                <w:color w:val="auto"/>
                <w:sz w:val="24"/>
                <w:szCs w:val="24"/>
              </w:rPr>
            </w:pP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院级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restart"/>
            <w:noWrap w:val="0"/>
            <w:vAlign w:val="center"/>
          </w:tcPr>
          <w:p>
            <w:pPr>
              <w:spacing w:line="360" w:lineRule="auto"/>
              <w:ind w:firstLine="480" w:firstLineChars="200"/>
              <w:jc w:val="center"/>
              <w:rPr>
                <w:rFonts w:ascii="宋体" w:hAnsi="Calibri" w:eastAsia="宋体" w:cs="Times New Roman"/>
                <w:color w:val="auto"/>
                <w:sz w:val="24"/>
                <w:szCs w:val="24"/>
              </w:rPr>
            </w:pPr>
            <w:r>
              <w:rPr>
                <w:rFonts w:hint="eastAsia" w:ascii="宋体" w:hAnsi="宋体" w:eastAsia="宋体" w:cs="Times New Roman"/>
                <w:color w:val="auto"/>
                <w:sz w:val="24"/>
                <w:szCs w:val="24"/>
              </w:rPr>
              <w:t>团团体奖</w:t>
            </w: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国家级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2000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1500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1200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continue"/>
            <w:noWrap w:val="0"/>
            <w:vAlign w:val="center"/>
          </w:tcPr>
          <w:p>
            <w:pPr>
              <w:spacing w:line="360" w:lineRule="auto"/>
              <w:ind w:firstLine="480" w:firstLineChars="200"/>
              <w:rPr>
                <w:rFonts w:ascii="宋体" w:hAnsi="Calibri" w:eastAsia="宋体" w:cs="Times New Roman"/>
                <w:color w:val="auto"/>
                <w:sz w:val="24"/>
                <w:szCs w:val="24"/>
              </w:rPr>
            </w:pP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省级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1000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800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600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continue"/>
            <w:noWrap w:val="0"/>
            <w:vAlign w:val="center"/>
          </w:tcPr>
          <w:p>
            <w:pPr>
              <w:spacing w:line="360" w:lineRule="auto"/>
              <w:ind w:firstLine="480" w:firstLineChars="200"/>
              <w:rPr>
                <w:rFonts w:ascii="宋体" w:hAnsi="Calibri" w:eastAsia="宋体" w:cs="Times New Roman"/>
                <w:color w:val="auto"/>
                <w:sz w:val="24"/>
                <w:szCs w:val="24"/>
              </w:rPr>
            </w:pP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市级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800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600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 w:type="dxa"/>
            <w:vMerge w:val="continue"/>
            <w:noWrap w:val="0"/>
            <w:vAlign w:val="center"/>
          </w:tcPr>
          <w:p>
            <w:pPr>
              <w:spacing w:line="360" w:lineRule="auto"/>
              <w:ind w:firstLine="480" w:firstLineChars="200"/>
              <w:rPr>
                <w:rFonts w:ascii="宋体" w:hAnsi="Calibri" w:eastAsia="宋体" w:cs="Times New Roman"/>
                <w:color w:val="auto"/>
                <w:sz w:val="24"/>
                <w:szCs w:val="24"/>
              </w:rPr>
            </w:pPr>
          </w:p>
        </w:tc>
        <w:tc>
          <w:tcPr>
            <w:tcW w:w="1800" w:type="dxa"/>
            <w:noWrap w:val="0"/>
            <w:vAlign w:val="center"/>
          </w:tcPr>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院级</w:t>
            </w:r>
          </w:p>
        </w:tc>
        <w:tc>
          <w:tcPr>
            <w:tcW w:w="1620"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400</w:t>
            </w:r>
          </w:p>
        </w:tc>
        <w:tc>
          <w:tcPr>
            <w:tcW w:w="1656"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300</w:t>
            </w:r>
          </w:p>
        </w:tc>
        <w:tc>
          <w:tcPr>
            <w:tcW w:w="1485"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200</w:t>
            </w:r>
          </w:p>
        </w:tc>
        <w:tc>
          <w:tcPr>
            <w:tcW w:w="1438" w:type="dxa"/>
            <w:noWrap w:val="0"/>
            <w:vAlign w:val="center"/>
          </w:tcPr>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100</w:t>
            </w:r>
          </w:p>
        </w:tc>
      </w:tr>
    </w:tbl>
    <w:p>
      <w:pPr>
        <w:spacing w:line="360" w:lineRule="auto"/>
        <w:jc w:val="center"/>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说明：</w:t>
      </w:r>
    </w:p>
    <w:p>
      <w:pPr>
        <w:widowControl w:val="0"/>
        <w:numPr>
          <w:ilvl w:val="3"/>
          <w:numId w:val="25"/>
        </w:numPr>
        <w:spacing w:line="360" w:lineRule="auto"/>
        <w:ind w:left="993" w:firstLine="42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上述奖励二级学院针对亲自到场参与技能竞赛操作及演说的参赛选手；</w:t>
      </w:r>
    </w:p>
    <w:p>
      <w:pPr>
        <w:widowControl w:val="0"/>
        <w:numPr>
          <w:ilvl w:val="3"/>
          <w:numId w:val="25"/>
        </w:numPr>
        <w:spacing w:line="360" w:lineRule="auto"/>
        <w:ind w:left="993" w:firstLine="42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对于只送交参赛评审材料而获奖的选手按上述奖金的</w:t>
      </w:r>
      <w:r>
        <w:rPr>
          <w:rFonts w:ascii="宋体" w:hAnsi="宋体" w:eastAsia="宋体" w:cs="Times New Roman"/>
          <w:color w:val="auto"/>
          <w:kern w:val="2"/>
          <w:sz w:val="24"/>
          <w:szCs w:val="24"/>
          <w:lang w:val="en-US" w:eastAsia="zh-CN" w:bidi="ar-SA"/>
        </w:rPr>
        <w:t>50%</w:t>
      </w:r>
      <w:r>
        <w:rPr>
          <w:rFonts w:hint="eastAsia" w:ascii="宋体" w:hAnsi="宋体" w:eastAsia="宋体" w:cs="Times New Roman"/>
          <w:color w:val="auto"/>
          <w:kern w:val="2"/>
          <w:sz w:val="24"/>
          <w:szCs w:val="24"/>
          <w:lang w:val="en-US" w:eastAsia="zh-CN" w:bidi="ar-SA"/>
        </w:rPr>
        <w:t>计算；</w:t>
      </w:r>
    </w:p>
    <w:p>
      <w:pPr>
        <w:widowControl w:val="0"/>
        <w:numPr>
          <w:ilvl w:val="3"/>
          <w:numId w:val="25"/>
        </w:numPr>
        <w:spacing w:line="360" w:lineRule="auto"/>
        <w:ind w:left="993" w:firstLine="42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个人和团体奖获多个奖项者按最高奖计算，不重复计奖；</w:t>
      </w:r>
    </w:p>
    <w:p>
      <w:pPr>
        <w:widowControl w:val="0"/>
        <w:numPr>
          <w:ilvl w:val="3"/>
          <w:numId w:val="25"/>
        </w:numPr>
        <w:spacing w:line="360" w:lineRule="auto"/>
        <w:ind w:left="993" w:firstLine="42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竞赛的级别确认以获奖证书的印章为依据。</w:t>
      </w:r>
    </w:p>
    <w:p>
      <w:pPr>
        <w:widowControl/>
        <w:ind w:left="993"/>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22" w:name="_Toc29944"/>
      <w:r>
        <w:rPr>
          <w:rFonts w:hint="eastAsia"/>
          <w:color w:val="auto"/>
        </w:rPr>
        <w:t>学生专业技能竞赛管理制度</w:t>
      </w:r>
      <w:bookmarkEnd w:id="22"/>
    </w:p>
    <w:p>
      <w:pPr>
        <w:widowControl/>
        <w:spacing w:line="360" w:lineRule="auto"/>
        <w:ind w:firstLine="480" w:firstLineChars="200"/>
        <w:jc w:val="left"/>
        <w:rPr>
          <w:rFonts w:ascii="宋体" w:hAnsi="Calibri" w:eastAsia="宋体" w:cs="宋体"/>
          <w:color w:val="auto"/>
          <w:kern w:val="0"/>
          <w:sz w:val="24"/>
        </w:rPr>
      </w:pP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一、指导原则</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落实高职学院相关技能大赛精神，进一步深化教学改革，将技能竞赛任务落实到人。学院各专业原则上依据国赛或省赛项目开展院内专业技能竞赛，</w:t>
      </w:r>
      <w:r>
        <w:rPr>
          <w:rFonts w:hint="eastAsia" w:ascii="宋体" w:hAnsi="宋体" w:eastAsia="宋体" w:cs="宋体"/>
          <w:bCs/>
          <w:color w:val="auto"/>
          <w:kern w:val="0"/>
          <w:sz w:val="24"/>
        </w:rPr>
        <w:t>参加市、省级各类专业技能竞赛的指导教师通过自愿报名，报</w:t>
      </w:r>
      <w:r>
        <w:rPr>
          <w:rFonts w:hint="eastAsia" w:ascii="宋体" w:hAnsi="宋体" w:eastAsia="宋体" w:cs="宋体"/>
          <w:bCs/>
          <w:color w:val="auto"/>
          <w:kern w:val="0"/>
          <w:sz w:val="24"/>
          <w:lang w:eastAsia="zh-CN"/>
        </w:rPr>
        <w:t>二级学院</w:t>
      </w:r>
      <w:r>
        <w:rPr>
          <w:rFonts w:hint="eastAsia" w:ascii="宋体" w:hAnsi="宋体" w:eastAsia="宋体" w:cs="宋体"/>
          <w:bCs/>
          <w:color w:val="auto"/>
          <w:kern w:val="0"/>
          <w:sz w:val="24"/>
        </w:rPr>
        <w:t>同意、</w:t>
      </w:r>
      <w:r>
        <w:rPr>
          <w:rFonts w:hint="eastAsia" w:ascii="宋体" w:hAnsi="宋体" w:eastAsia="宋体" w:cs="宋体"/>
          <w:bCs/>
          <w:color w:val="auto"/>
          <w:kern w:val="0"/>
          <w:sz w:val="24"/>
          <w:lang w:eastAsia="zh-CN"/>
        </w:rPr>
        <w:t>教务部</w:t>
      </w:r>
      <w:r>
        <w:rPr>
          <w:rFonts w:hint="eastAsia" w:ascii="宋体" w:hAnsi="宋体" w:eastAsia="宋体" w:cs="宋体"/>
          <w:bCs/>
          <w:color w:val="auto"/>
          <w:kern w:val="0"/>
          <w:sz w:val="24"/>
        </w:rPr>
        <w:t>批准后产生。</w:t>
      </w:r>
    </w:p>
    <w:p>
      <w:pPr>
        <w:adjustRightInd w:val="0"/>
        <w:snapToGrid w:val="0"/>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二、技能竞赛领导小组</w:t>
      </w:r>
    </w:p>
    <w:p>
      <w:pPr>
        <w:adjustRightInd w:val="0"/>
        <w:snapToGrid w:val="0"/>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组</w:t>
      </w:r>
      <w:r>
        <w:rPr>
          <w:rFonts w:ascii="宋体" w:hAnsi="宋体" w:eastAsia="宋体" w:cs="宋体"/>
          <w:color w:val="auto"/>
          <w:kern w:val="0"/>
          <w:sz w:val="24"/>
        </w:rPr>
        <w:t xml:space="preserve"> </w:t>
      </w:r>
      <w:r>
        <w:rPr>
          <w:rFonts w:hint="eastAsia" w:ascii="宋体" w:hAnsi="宋体" w:eastAsia="宋体" w:cs="宋体"/>
          <w:color w:val="auto"/>
          <w:kern w:val="0"/>
          <w:sz w:val="24"/>
        </w:rPr>
        <w:t>长：院长</w:t>
      </w:r>
    </w:p>
    <w:p>
      <w:pPr>
        <w:adjustRightInd w:val="0"/>
        <w:snapToGrid w:val="0"/>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副组长：教学副院长</w:t>
      </w:r>
    </w:p>
    <w:p>
      <w:pPr>
        <w:adjustRightInd w:val="0"/>
        <w:snapToGrid w:val="0"/>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成</w:t>
      </w:r>
      <w:r>
        <w:rPr>
          <w:rFonts w:ascii="宋体" w:hAnsi="宋体" w:eastAsia="宋体" w:cs="宋体"/>
          <w:color w:val="auto"/>
          <w:kern w:val="0"/>
          <w:sz w:val="24"/>
        </w:rPr>
        <w:t xml:space="preserve"> </w:t>
      </w:r>
      <w:r>
        <w:rPr>
          <w:rFonts w:hint="eastAsia" w:ascii="宋体" w:hAnsi="宋体" w:eastAsia="宋体" w:cs="宋体"/>
          <w:color w:val="auto"/>
          <w:kern w:val="0"/>
          <w:sz w:val="24"/>
        </w:rPr>
        <w:t>员：各</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主任及</w:t>
      </w:r>
      <w:r>
        <w:rPr>
          <w:rFonts w:hint="eastAsia" w:ascii="宋体" w:hAnsi="宋体" w:eastAsia="宋体" w:cs="宋体"/>
          <w:color w:val="auto"/>
          <w:kern w:val="0"/>
          <w:sz w:val="24"/>
          <w:lang w:eastAsia="zh-CN"/>
        </w:rPr>
        <w:t>教务部</w:t>
      </w:r>
      <w:r>
        <w:rPr>
          <w:rFonts w:hint="eastAsia" w:ascii="宋体" w:hAnsi="宋体" w:eastAsia="宋体" w:cs="宋体"/>
          <w:color w:val="auto"/>
          <w:kern w:val="0"/>
          <w:sz w:val="24"/>
        </w:rPr>
        <w:t>长</w:t>
      </w:r>
    </w:p>
    <w:p>
      <w:pPr>
        <w:adjustRightInd w:val="0"/>
        <w:snapToGrid w:val="0"/>
        <w:spacing w:line="360" w:lineRule="auto"/>
        <w:ind w:firstLine="480" w:firstLineChars="200"/>
        <w:jc w:val="left"/>
        <w:rPr>
          <w:rFonts w:hint="eastAsia" w:ascii="宋体" w:hAnsi="Calibri" w:eastAsia="宋体" w:cs="宋体"/>
          <w:color w:val="auto"/>
          <w:kern w:val="0"/>
          <w:sz w:val="24"/>
          <w:lang w:eastAsia="zh-CN"/>
        </w:rPr>
      </w:pPr>
      <w:r>
        <w:rPr>
          <w:rFonts w:hint="eastAsia" w:ascii="宋体" w:hAnsi="宋体" w:eastAsia="宋体" w:cs="宋体"/>
          <w:color w:val="auto"/>
          <w:kern w:val="0"/>
          <w:sz w:val="24"/>
        </w:rPr>
        <w:t>办公室设在</w:t>
      </w:r>
      <w:r>
        <w:rPr>
          <w:rFonts w:hint="eastAsia" w:ascii="宋体" w:hAnsi="宋体" w:eastAsia="宋体" w:cs="宋体"/>
          <w:color w:val="auto"/>
          <w:kern w:val="0"/>
          <w:sz w:val="24"/>
          <w:lang w:eastAsia="zh-CN"/>
        </w:rPr>
        <w:t>教务部</w:t>
      </w:r>
    </w:p>
    <w:p>
      <w:pPr>
        <w:adjustRightInd w:val="0"/>
        <w:snapToGrid w:val="0"/>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三、竞赛的内容</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参照广东省高等职业学院技能大赛项目，针对专业特点，内容应体现岗位能力培养、基础理论知识、职业道德、敬业精神、团队合作、创新思维等。</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四、赛制规则</w:t>
      </w:r>
    </w:p>
    <w:p>
      <w:pPr>
        <w:widowControl/>
        <w:spacing w:line="360" w:lineRule="auto"/>
        <w:ind w:firstLine="480" w:firstLineChars="200"/>
        <w:rPr>
          <w:rFonts w:ascii="宋体" w:hAnsi="Calibri" w:eastAsia="宋体" w:cs="宋体"/>
          <w:bCs/>
          <w:color w:val="auto"/>
          <w:kern w:val="0"/>
          <w:sz w:val="24"/>
        </w:rPr>
      </w:pPr>
      <w:r>
        <w:rPr>
          <w:rFonts w:hint="eastAsia" w:ascii="宋体" w:hAnsi="宋体" w:eastAsia="宋体" w:cs="Times New Roman"/>
          <w:color w:val="auto"/>
          <w:sz w:val="24"/>
        </w:rPr>
        <w:t>（一）</w:t>
      </w:r>
      <w:r>
        <w:rPr>
          <w:rFonts w:hint="eastAsia" w:ascii="宋体" w:hAnsi="宋体" w:eastAsia="宋体" w:cs="宋体"/>
          <w:bCs/>
          <w:color w:val="auto"/>
          <w:kern w:val="0"/>
          <w:sz w:val="24"/>
        </w:rPr>
        <w:t>指导教师人数：根据竞赛要求确定。一般情况下一个学生安排一个指导教师，其它情况按上级组织部门规定执行，</w:t>
      </w:r>
      <w:r>
        <w:rPr>
          <w:rFonts w:hint="eastAsia" w:ascii="宋体" w:hAnsi="宋体" w:eastAsia="宋体" w:cs="宋体"/>
          <w:bCs/>
          <w:color w:val="auto"/>
          <w:kern w:val="0"/>
          <w:sz w:val="24"/>
          <w:lang w:eastAsia="zh-CN"/>
        </w:rPr>
        <w:t>二级学院</w:t>
      </w:r>
      <w:r>
        <w:rPr>
          <w:rFonts w:hint="eastAsia" w:ascii="宋体" w:hAnsi="宋体" w:eastAsia="宋体" w:cs="宋体"/>
          <w:bCs/>
          <w:color w:val="auto"/>
          <w:kern w:val="0"/>
          <w:sz w:val="24"/>
        </w:rPr>
        <w:t>根据项目要求可以设多个副指导教师，</w:t>
      </w:r>
      <w:r>
        <w:rPr>
          <w:rFonts w:hint="eastAsia" w:ascii="宋体" w:hAnsi="宋体" w:eastAsia="宋体" w:cs="宋体"/>
          <w:bCs/>
          <w:color w:val="auto"/>
          <w:kern w:val="0"/>
          <w:sz w:val="24"/>
          <w:lang w:eastAsia="zh-CN"/>
        </w:rPr>
        <w:t>二级学院</w:t>
      </w:r>
      <w:r>
        <w:rPr>
          <w:rFonts w:hint="eastAsia" w:ascii="宋体" w:hAnsi="宋体" w:eastAsia="宋体" w:cs="宋体"/>
          <w:bCs/>
          <w:color w:val="auto"/>
          <w:kern w:val="0"/>
          <w:sz w:val="24"/>
        </w:rPr>
        <w:t>主任为竞赛项目总体负责人。</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Times New Roman"/>
          <w:color w:val="auto"/>
          <w:sz w:val="24"/>
        </w:rPr>
        <w:t>（二）</w:t>
      </w:r>
      <w:r>
        <w:rPr>
          <w:rFonts w:hint="eastAsia" w:ascii="宋体" w:hAnsi="宋体" w:eastAsia="宋体" w:cs="宋体"/>
          <w:color w:val="auto"/>
          <w:kern w:val="0"/>
          <w:sz w:val="24"/>
        </w:rPr>
        <w:t>市级及以上项目指导教师的确定办法：</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宋体"/>
          <w:color w:val="auto"/>
          <w:kern w:val="0"/>
          <w:sz w:val="24"/>
        </w:rPr>
        <w:t>担任专业课教学</w:t>
      </w:r>
      <w:r>
        <w:rPr>
          <w:rFonts w:ascii="宋体" w:hAnsi="宋体" w:eastAsia="宋体" w:cs="宋体"/>
          <w:color w:val="auto"/>
          <w:kern w:val="0"/>
          <w:sz w:val="24"/>
        </w:rPr>
        <w:t>3</w:t>
      </w:r>
      <w:r>
        <w:rPr>
          <w:rFonts w:hint="eastAsia" w:ascii="宋体" w:hAnsi="宋体" w:eastAsia="宋体" w:cs="宋体"/>
          <w:color w:val="auto"/>
          <w:kern w:val="0"/>
          <w:sz w:val="24"/>
        </w:rPr>
        <w:t>年以上并参与过两次以上竞赛组织及培训、掌握竞赛项目理论和技能的教师可申报。</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宋体"/>
          <w:color w:val="auto"/>
          <w:kern w:val="0"/>
          <w:sz w:val="24"/>
        </w:rPr>
        <w:t>符合条件的教师根据竞赛通知时间，到</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自愿报名，</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研究确定后，报</w:t>
      </w:r>
      <w:r>
        <w:rPr>
          <w:rFonts w:hint="eastAsia" w:ascii="宋体" w:hAnsi="宋体" w:eastAsia="宋体" w:cs="宋体"/>
          <w:color w:val="auto"/>
          <w:kern w:val="0"/>
          <w:sz w:val="24"/>
          <w:lang w:eastAsia="zh-CN"/>
        </w:rPr>
        <w:t>教务部</w:t>
      </w:r>
      <w:r>
        <w:rPr>
          <w:rFonts w:hint="eastAsia" w:ascii="宋体" w:hAnsi="宋体" w:eastAsia="宋体" w:cs="宋体"/>
          <w:color w:val="auto"/>
          <w:kern w:val="0"/>
          <w:sz w:val="24"/>
        </w:rPr>
        <w:t>批准同意并具体实施。</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Times New Roman"/>
          <w:color w:val="auto"/>
          <w:sz w:val="24"/>
        </w:rPr>
        <w:t>（三）</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职责：组织学生专业技能竞赛是</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的基本工作职责之一。</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应根据市、省、国家竞赛项目，制定院内专业技能竞赛实施方案，全面组织院内专业技能竞赛，选拔、确定参加市级、省级技能竞赛学生名单，拟定指导教师。全程负责辅导学生参加市级、省级技能竞赛、国家级技能竞赛。</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Times New Roman"/>
          <w:color w:val="auto"/>
          <w:sz w:val="24"/>
        </w:rPr>
        <w:t>（四）</w:t>
      </w:r>
      <w:r>
        <w:rPr>
          <w:rFonts w:hint="eastAsia" w:ascii="宋体" w:hAnsi="宋体" w:eastAsia="宋体" w:cs="宋体"/>
          <w:color w:val="auto"/>
          <w:kern w:val="0"/>
          <w:sz w:val="24"/>
        </w:rPr>
        <w:t>参赛对象应面向全院有关专业的学生，经预赛、初赛、决赛层层选拔。院内竞赛各项目设一、二、三等奖和优秀奖，获奖名额按实际参赛人数的</w:t>
      </w:r>
      <w:r>
        <w:rPr>
          <w:rFonts w:ascii="宋体" w:hAnsi="宋体" w:eastAsia="宋体" w:cs="宋体"/>
          <w:color w:val="auto"/>
          <w:kern w:val="0"/>
          <w:sz w:val="24"/>
        </w:rPr>
        <w:t>10%</w:t>
      </w:r>
      <w:r>
        <w:rPr>
          <w:rFonts w:hint="eastAsia" w:ascii="宋体" w:hAnsi="宋体" w:eastAsia="宋体" w:cs="宋体"/>
          <w:color w:val="auto"/>
          <w:kern w:val="0"/>
          <w:sz w:val="24"/>
        </w:rPr>
        <w:t>、</w:t>
      </w:r>
      <w:r>
        <w:rPr>
          <w:rFonts w:ascii="宋体" w:hAnsi="宋体" w:eastAsia="宋体" w:cs="宋体"/>
          <w:color w:val="auto"/>
          <w:kern w:val="0"/>
          <w:sz w:val="24"/>
        </w:rPr>
        <w:t>20%</w:t>
      </w:r>
      <w:r>
        <w:rPr>
          <w:rFonts w:hint="eastAsia" w:ascii="宋体" w:hAnsi="宋体" w:eastAsia="宋体" w:cs="宋体"/>
          <w:color w:val="auto"/>
          <w:kern w:val="0"/>
          <w:sz w:val="24"/>
        </w:rPr>
        <w:t>、</w:t>
      </w:r>
      <w:r>
        <w:rPr>
          <w:rFonts w:ascii="宋体" w:hAnsi="宋体" w:eastAsia="宋体" w:cs="宋体"/>
          <w:color w:val="auto"/>
          <w:kern w:val="0"/>
          <w:sz w:val="24"/>
        </w:rPr>
        <w:t>30%</w:t>
      </w:r>
      <w:r>
        <w:rPr>
          <w:rFonts w:hint="eastAsia" w:ascii="宋体" w:hAnsi="宋体" w:eastAsia="宋体" w:cs="宋体"/>
          <w:color w:val="auto"/>
          <w:kern w:val="0"/>
          <w:sz w:val="24"/>
        </w:rPr>
        <w:t>、</w:t>
      </w:r>
      <w:r>
        <w:rPr>
          <w:rFonts w:ascii="宋体" w:hAnsi="宋体" w:eastAsia="宋体" w:cs="宋体"/>
          <w:color w:val="auto"/>
          <w:kern w:val="0"/>
          <w:sz w:val="24"/>
        </w:rPr>
        <w:t>40%</w:t>
      </w:r>
      <w:r>
        <w:rPr>
          <w:rFonts w:hint="eastAsia" w:ascii="宋体" w:hAnsi="宋体" w:eastAsia="宋体" w:cs="宋体"/>
          <w:color w:val="auto"/>
          <w:kern w:val="0"/>
          <w:sz w:val="24"/>
        </w:rPr>
        <w:t>设定。市级以上竞赛项目的获奖名额按相关文件执行。</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Times New Roman"/>
          <w:color w:val="auto"/>
          <w:sz w:val="24"/>
        </w:rPr>
        <w:t>（五）</w:t>
      </w:r>
      <w:r>
        <w:rPr>
          <w:rFonts w:hint="eastAsia" w:ascii="宋体" w:hAnsi="宋体" w:eastAsia="宋体" w:cs="宋体"/>
          <w:color w:val="auto"/>
          <w:kern w:val="0"/>
          <w:sz w:val="24"/>
        </w:rPr>
        <w:t>决赛时相关专业教师必须参与。</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邀请院领导、</w:t>
      </w:r>
      <w:r>
        <w:rPr>
          <w:rFonts w:hint="eastAsia" w:ascii="宋体" w:hAnsi="宋体" w:eastAsia="宋体" w:cs="宋体"/>
          <w:color w:val="auto"/>
          <w:kern w:val="0"/>
          <w:sz w:val="24"/>
          <w:lang w:eastAsia="zh-CN"/>
        </w:rPr>
        <w:t>教务部</w:t>
      </w:r>
      <w:r>
        <w:rPr>
          <w:rFonts w:hint="eastAsia" w:ascii="宋体" w:hAnsi="宋体" w:eastAsia="宋体" w:cs="宋体"/>
          <w:color w:val="auto"/>
          <w:kern w:val="0"/>
          <w:sz w:val="24"/>
        </w:rPr>
        <w:t>、教职工等相关人员观摩，并安排相关专业学生参与观摩。选拔市级以上选手，决赛时如需要聘请外单位专家担任评委需报请学院同意，如果不是选拔市级以上选手，原则上一般不请外单位专家。</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Times New Roman"/>
          <w:color w:val="auto"/>
          <w:sz w:val="24"/>
        </w:rPr>
        <w:t>（六）</w:t>
      </w:r>
      <w:r>
        <w:rPr>
          <w:rFonts w:hint="eastAsia" w:ascii="宋体" w:hAnsi="宋体" w:eastAsia="宋体" w:cs="宋体"/>
          <w:color w:val="auto"/>
          <w:kern w:val="0"/>
          <w:sz w:val="24"/>
        </w:rPr>
        <w:t>竞赛结束后，</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按要求上交各项书面及图像资料，由</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领取竞赛组织补贴。学院每年发放院内技能竞赛组织补贴，每个专业每年一次竞赛组织补贴</w:t>
      </w:r>
      <w:r>
        <w:rPr>
          <w:rFonts w:ascii="宋体" w:hAnsi="宋体" w:eastAsia="宋体" w:cs="宋体"/>
          <w:color w:val="auto"/>
          <w:kern w:val="0"/>
          <w:sz w:val="24"/>
        </w:rPr>
        <w:t>1000</w:t>
      </w:r>
      <w:r>
        <w:rPr>
          <w:rFonts w:hint="eastAsia" w:ascii="宋体" w:hAnsi="宋体" w:eastAsia="宋体" w:cs="宋体"/>
          <w:color w:val="auto"/>
          <w:kern w:val="0"/>
          <w:sz w:val="24"/>
        </w:rPr>
        <w:t>元。组织补贴用于当年度组织院内各竞赛产生的误餐、加班等费用，</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统畴发放，按财务规定制表签领。</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不得以各种理由再申请费用。</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Times New Roman"/>
          <w:color w:val="auto"/>
          <w:sz w:val="24"/>
        </w:rPr>
        <w:t>（七）辅导</w:t>
      </w:r>
      <w:r>
        <w:rPr>
          <w:rFonts w:hint="eastAsia" w:ascii="宋体" w:hAnsi="宋体" w:eastAsia="宋体" w:cs="宋体"/>
          <w:color w:val="auto"/>
          <w:kern w:val="0"/>
          <w:sz w:val="24"/>
        </w:rPr>
        <w:t>选手获得市级以上竞赛资格的指导教师，必须利用业余时间辅导学生，每周保证</w:t>
      </w:r>
      <w:r>
        <w:rPr>
          <w:rFonts w:ascii="宋体" w:hAnsi="宋体" w:eastAsia="宋体" w:cs="宋体"/>
          <w:color w:val="auto"/>
          <w:kern w:val="0"/>
          <w:sz w:val="24"/>
        </w:rPr>
        <w:t>4</w:t>
      </w:r>
      <w:r>
        <w:rPr>
          <w:rFonts w:hint="eastAsia" w:ascii="宋体" w:hAnsi="宋体" w:eastAsia="宋体" w:cs="宋体"/>
          <w:color w:val="auto"/>
          <w:kern w:val="0"/>
          <w:sz w:val="24"/>
        </w:rPr>
        <w:t>次以上，每天按上午、下午、晚上三个单元计，白天每单元保证</w:t>
      </w:r>
      <w:r>
        <w:rPr>
          <w:rFonts w:ascii="宋体" w:hAnsi="宋体" w:eastAsia="宋体" w:cs="宋体"/>
          <w:color w:val="auto"/>
          <w:kern w:val="0"/>
          <w:sz w:val="24"/>
        </w:rPr>
        <w:t>3</w:t>
      </w:r>
      <w:r>
        <w:rPr>
          <w:rFonts w:hint="eastAsia" w:ascii="宋体" w:hAnsi="宋体" w:eastAsia="宋体" w:cs="宋体"/>
          <w:color w:val="auto"/>
          <w:kern w:val="0"/>
          <w:sz w:val="24"/>
        </w:rPr>
        <w:t>小时以上，晚上</w:t>
      </w:r>
      <w:r>
        <w:rPr>
          <w:rFonts w:ascii="宋体" w:hAnsi="宋体" w:eastAsia="宋体" w:cs="宋体"/>
          <w:color w:val="auto"/>
          <w:kern w:val="0"/>
          <w:sz w:val="24"/>
        </w:rPr>
        <w:t>2</w:t>
      </w:r>
      <w:r>
        <w:rPr>
          <w:rFonts w:hint="eastAsia" w:ascii="宋体" w:hAnsi="宋体" w:eastAsia="宋体" w:cs="宋体"/>
          <w:color w:val="auto"/>
          <w:kern w:val="0"/>
          <w:sz w:val="24"/>
        </w:rPr>
        <w:t>小时以上，每单元必须填写辅导日志，每个级别竞赛每位指导教师辅导不得少于</w:t>
      </w:r>
      <w:r>
        <w:rPr>
          <w:rFonts w:ascii="宋体" w:hAnsi="宋体" w:eastAsia="宋体" w:cs="宋体"/>
          <w:color w:val="auto"/>
          <w:kern w:val="0"/>
          <w:sz w:val="24"/>
        </w:rPr>
        <w:t>15</w:t>
      </w:r>
      <w:r>
        <w:rPr>
          <w:rFonts w:hint="eastAsia" w:ascii="宋体" w:hAnsi="宋体" w:eastAsia="宋体" w:cs="宋体"/>
          <w:color w:val="auto"/>
          <w:kern w:val="0"/>
          <w:sz w:val="24"/>
        </w:rPr>
        <w:t>个单元（少于</w:t>
      </w:r>
      <w:r>
        <w:rPr>
          <w:rFonts w:ascii="宋体" w:hAnsi="宋体" w:eastAsia="宋体" w:cs="宋体"/>
          <w:color w:val="auto"/>
          <w:kern w:val="0"/>
          <w:sz w:val="24"/>
        </w:rPr>
        <w:t>15</w:t>
      </w:r>
      <w:r>
        <w:rPr>
          <w:rFonts w:hint="eastAsia" w:ascii="宋体" w:hAnsi="宋体" w:eastAsia="宋体" w:cs="宋体"/>
          <w:color w:val="auto"/>
          <w:kern w:val="0"/>
          <w:sz w:val="24"/>
        </w:rPr>
        <w:t>个单元不予发放补贴）。教师、学生现场签名，</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统计核实。学院根据辅导日志发给每个指导教师辅导补贴，市级项目</w:t>
      </w:r>
      <w:r>
        <w:rPr>
          <w:rFonts w:ascii="宋体" w:hAnsi="宋体" w:eastAsia="宋体" w:cs="宋体"/>
          <w:color w:val="auto"/>
          <w:kern w:val="0"/>
          <w:sz w:val="24"/>
        </w:rPr>
        <w:t>300</w:t>
      </w:r>
      <w:r>
        <w:rPr>
          <w:rFonts w:hint="eastAsia" w:ascii="宋体" w:hAnsi="宋体" w:eastAsia="宋体" w:cs="宋体"/>
          <w:color w:val="auto"/>
          <w:kern w:val="0"/>
          <w:sz w:val="24"/>
        </w:rPr>
        <w:t>元、省级</w:t>
      </w:r>
      <w:r>
        <w:rPr>
          <w:rFonts w:ascii="宋体" w:hAnsi="宋体" w:eastAsia="宋体" w:cs="宋体"/>
          <w:color w:val="auto"/>
          <w:kern w:val="0"/>
          <w:sz w:val="24"/>
        </w:rPr>
        <w:t>800</w:t>
      </w:r>
      <w:r>
        <w:rPr>
          <w:rFonts w:hint="eastAsia" w:ascii="宋体" w:hAnsi="宋体" w:eastAsia="宋体" w:cs="宋体"/>
          <w:color w:val="auto"/>
          <w:kern w:val="0"/>
          <w:sz w:val="24"/>
        </w:rPr>
        <w:t>元、国家级</w:t>
      </w:r>
      <w:r>
        <w:rPr>
          <w:rFonts w:ascii="宋体" w:hAnsi="宋体" w:eastAsia="宋体" w:cs="宋体"/>
          <w:color w:val="auto"/>
          <w:kern w:val="0"/>
          <w:sz w:val="24"/>
        </w:rPr>
        <w:t>1000</w:t>
      </w:r>
      <w:r>
        <w:rPr>
          <w:rFonts w:hint="eastAsia" w:ascii="宋体" w:hAnsi="宋体" w:eastAsia="宋体" w:cs="宋体"/>
          <w:color w:val="auto"/>
          <w:kern w:val="0"/>
          <w:sz w:val="24"/>
        </w:rPr>
        <w:t>元，按一位选手一位指导教师计。指导多个学生按一人计算，市级、省级、国家级项目教师辅导补贴分别计算。</w:t>
      </w:r>
    </w:p>
    <w:p>
      <w:pPr>
        <w:widowControl/>
        <w:spacing w:line="360" w:lineRule="auto"/>
        <w:ind w:firstLine="480" w:firstLineChars="200"/>
        <w:rPr>
          <w:rFonts w:ascii="宋体" w:hAnsi="Calibri" w:eastAsia="宋体" w:cs="宋体"/>
          <w:color w:val="auto"/>
          <w:kern w:val="0"/>
          <w:sz w:val="24"/>
        </w:rPr>
      </w:pPr>
      <w:r>
        <w:rPr>
          <w:rFonts w:hint="eastAsia" w:ascii="宋体" w:hAnsi="宋体" w:eastAsia="宋体" w:cs="Times New Roman"/>
          <w:color w:val="auto"/>
          <w:sz w:val="24"/>
        </w:rPr>
        <w:t>（八）</w:t>
      </w:r>
      <w:r>
        <w:rPr>
          <w:rFonts w:hint="eastAsia" w:ascii="宋体" w:hAnsi="宋体" w:eastAsia="宋体" w:cs="宋体"/>
          <w:color w:val="auto"/>
          <w:kern w:val="0"/>
          <w:sz w:val="24"/>
        </w:rPr>
        <w:t>学院各职能部门必须积极配合，保证操作技能大赛顺利进行。</w:t>
      </w:r>
    </w:p>
    <w:p>
      <w:pPr>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五、奖励办法</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（一）指导教师奖励</w:t>
      </w:r>
    </w:p>
    <w:p>
      <w:pPr>
        <w:widowControl/>
        <w:spacing w:line="360" w:lineRule="auto"/>
        <w:ind w:firstLine="480" w:firstLineChars="200"/>
        <w:jc w:val="left"/>
        <w:rPr>
          <w:rFonts w:ascii="宋体" w:hAnsi="Calibri" w:eastAsia="宋体" w:cs="宋体"/>
          <w:color w:val="auto"/>
          <w:kern w:val="0"/>
          <w:sz w:val="24"/>
        </w:rPr>
      </w:pPr>
      <w:r>
        <w:rPr>
          <w:rFonts w:ascii="宋体" w:hAnsi="宋体" w:eastAsia="宋体" w:cs="宋体"/>
          <w:color w:val="auto"/>
          <w:kern w:val="0"/>
          <w:sz w:val="24"/>
        </w:rPr>
        <w:t>1.</w:t>
      </w:r>
      <w:r>
        <w:rPr>
          <w:rFonts w:hint="eastAsia" w:ascii="宋体" w:hAnsi="宋体" w:eastAsia="宋体" w:cs="宋体"/>
          <w:color w:val="auto"/>
          <w:kern w:val="0"/>
          <w:sz w:val="24"/>
        </w:rPr>
        <w:t>院内竞赛项目只颁发优秀指导教师荣誉证书。</w:t>
      </w:r>
    </w:p>
    <w:p>
      <w:pPr>
        <w:widowControl/>
        <w:spacing w:line="360" w:lineRule="auto"/>
        <w:ind w:firstLine="480" w:firstLineChars="200"/>
        <w:jc w:val="left"/>
        <w:rPr>
          <w:rFonts w:ascii="宋体" w:hAnsi="Calibri" w:eastAsia="宋体" w:cs="宋体"/>
          <w:color w:val="auto"/>
          <w:kern w:val="0"/>
          <w:sz w:val="24"/>
        </w:rPr>
      </w:pPr>
      <w:r>
        <w:rPr>
          <w:rFonts w:ascii="宋体" w:hAnsi="宋体" w:eastAsia="宋体" w:cs="宋体"/>
          <w:color w:val="auto"/>
          <w:kern w:val="0"/>
          <w:sz w:val="24"/>
        </w:rPr>
        <w:t>2.</w:t>
      </w:r>
      <w:r>
        <w:rPr>
          <w:rFonts w:hint="eastAsia" w:ascii="宋体" w:hAnsi="宋体" w:eastAsia="宋体" w:cs="宋体"/>
          <w:color w:val="auto"/>
          <w:kern w:val="0"/>
          <w:sz w:val="24"/>
        </w:rPr>
        <w:t>院外竞赛按以下标准给予奖励。</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w:t>
      </w:r>
      <w:r>
        <w:rPr>
          <w:rFonts w:ascii="宋体" w:hAnsi="宋体" w:eastAsia="宋体" w:cs="宋体"/>
          <w:color w:val="auto"/>
          <w:kern w:val="0"/>
          <w:sz w:val="24"/>
        </w:rPr>
        <w:t>1</w:t>
      </w:r>
      <w:r>
        <w:rPr>
          <w:rFonts w:hint="eastAsia" w:ascii="宋体" w:hAnsi="宋体" w:eastAsia="宋体" w:cs="宋体"/>
          <w:color w:val="auto"/>
          <w:kern w:val="0"/>
          <w:sz w:val="24"/>
        </w:rPr>
        <w:t>）市级：第一等级奖</w:t>
      </w:r>
      <w:r>
        <w:rPr>
          <w:rFonts w:ascii="宋体" w:hAnsi="宋体" w:eastAsia="宋体" w:cs="宋体"/>
          <w:color w:val="auto"/>
          <w:kern w:val="0"/>
          <w:sz w:val="24"/>
        </w:rPr>
        <w:t>300</w:t>
      </w:r>
      <w:r>
        <w:rPr>
          <w:rFonts w:hint="eastAsia" w:ascii="宋体" w:hAnsi="宋体" w:eastAsia="宋体" w:cs="宋体"/>
          <w:color w:val="auto"/>
          <w:kern w:val="0"/>
          <w:sz w:val="24"/>
        </w:rPr>
        <w:t>元，第二等级奖</w:t>
      </w:r>
      <w:r>
        <w:rPr>
          <w:rFonts w:ascii="宋体" w:hAnsi="宋体" w:eastAsia="宋体" w:cs="宋体"/>
          <w:color w:val="auto"/>
          <w:kern w:val="0"/>
          <w:sz w:val="24"/>
        </w:rPr>
        <w:t>200</w:t>
      </w:r>
      <w:r>
        <w:rPr>
          <w:rFonts w:hint="eastAsia" w:ascii="宋体" w:hAnsi="宋体" w:eastAsia="宋体" w:cs="宋体"/>
          <w:color w:val="auto"/>
          <w:kern w:val="0"/>
          <w:sz w:val="24"/>
        </w:rPr>
        <w:t>元，第三等级奖</w:t>
      </w:r>
      <w:r>
        <w:rPr>
          <w:rFonts w:ascii="宋体" w:hAnsi="宋体" w:eastAsia="宋体" w:cs="宋体"/>
          <w:color w:val="auto"/>
          <w:kern w:val="0"/>
          <w:sz w:val="24"/>
        </w:rPr>
        <w:t>100</w:t>
      </w:r>
      <w:r>
        <w:rPr>
          <w:rFonts w:hint="eastAsia" w:ascii="宋体" w:hAnsi="宋体" w:eastAsia="宋体" w:cs="宋体"/>
          <w:color w:val="auto"/>
          <w:kern w:val="0"/>
          <w:sz w:val="24"/>
        </w:rPr>
        <w:t>元。</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w:t>
      </w:r>
      <w:r>
        <w:rPr>
          <w:rFonts w:ascii="宋体" w:hAnsi="宋体" w:eastAsia="宋体" w:cs="宋体"/>
          <w:color w:val="auto"/>
          <w:kern w:val="0"/>
          <w:sz w:val="24"/>
        </w:rPr>
        <w:t>2</w:t>
      </w:r>
      <w:r>
        <w:rPr>
          <w:rFonts w:hint="eastAsia" w:ascii="宋体" w:hAnsi="宋体" w:eastAsia="宋体" w:cs="宋体"/>
          <w:color w:val="auto"/>
          <w:kern w:val="0"/>
          <w:sz w:val="24"/>
        </w:rPr>
        <w:t>）省级：第一等级奖</w:t>
      </w:r>
      <w:r>
        <w:rPr>
          <w:rFonts w:ascii="宋体" w:hAnsi="宋体" w:eastAsia="宋体" w:cs="宋体"/>
          <w:color w:val="auto"/>
          <w:kern w:val="0"/>
          <w:sz w:val="24"/>
        </w:rPr>
        <w:t>3000</w:t>
      </w:r>
      <w:r>
        <w:rPr>
          <w:rFonts w:hint="eastAsia" w:ascii="宋体" w:hAnsi="宋体" w:eastAsia="宋体" w:cs="宋体"/>
          <w:color w:val="auto"/>
          <w:kern w:val="0"/>
          <w:sz w:val="24"/>
        </w:rPr>
        <w:t>元，第二等级奖</w:t>
      </w:r>
      <w:r>
        <w:rPr>
          <w:rFonts w:ascii="宋体" w:hAnsi="宋体" w:eastAsia="宋体" w:cs="宋体"/>
          <w:color w:val="auto"/>
          <w:kern w:val="0"/>
          <w:sz w:val="24"/>
        </w:rPr>
        <w:t>2000</w:t>
      </w:r>
      <w:r>
        <w:rPr>
          <w:rFonts w:hint="eastAsia" w:ascii="宋体" w:hAnsi="宋体" w:eastAsia="宋体" w:cs="宋体"/>
          <w:color w:val="auto"/>
          <w:kern w:val="0"/>
          <w:sz w:val="24"/>
        </w:rPr>
        <w:t>元，第三等级奖</w:t>
      </w:r>
      <w:r>
        <w:rPr>
          <w:rFonts w:ascii="宋体" w:hAnsi="宋体" w:eastAsia="宋体" w:cs="宋体"/>
          <w:color w:val="auto"/>
          <w:kern w:val="0"/>
          <w:sz w:val="24"/>
        </w:rPr>
        <w:t>1000</w:t>
      </w:r>
      <w:r>
        <w:rPr>
          <w:rFonts w:hint="eastAsia" w:ascii="宋体" w:hAnsi="宋体" w:eastAsia="宋体" w:cs="宋体"/>
          <w:color w:val="auto"/>
          <w:kern w:val="0"/>
          <w:sz w:val="24"/>
        </w:rPr>
        <w:t>元，第四等级奖</w:t>
      </w:r>
      <w:r>
        <w:rPr>
          <w:rFonts w:ascii="宋体" w:hAnsi="宋体" w:eastAsia="宋体" w:cs="宋体"/>
          <w:color w:val="auto"/>
          <w:kern w:val="0"/>
          <w:sz w:val="24"/>
        </w:rPr>
        <w:t>500</w:t>
      </w:r>
      <w:r>
        <w:rPr>
          <w:rFonts w:hint="eastAsia" w:ascii="宋体" w:hAnsi="宋体" w:eastAsia="宋体" w:cs="宋体"/>
          <w:color w:val="auto"/>
          <w:kern w:val="0"/>
          <w:sz w:val="24"/>
        </w:rPr>
        <w:t>元。</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w:t>
      </w:r>
      <w:r>
        <w:rPr>
          <w:rFonts w:ascii="宋体" w:hAnsi="宋体" w:eastAsia="宋体" w:cs="宋体"/>
          <w:color w:val="auto"/>
          <w:kern w:val="0"/>
          <w:sz w:val="24"/>
        </w:rPr>
        <w:t>3</w:t>
      </w:r>
      <w:r>
        <w:rPr>
          <w:rFonts w:hint="eastAsia" w:ascii="宋体" w:hAnsi="宋体" w:eastAsia="宋体" w:cs="宋体"/>
          <w:color w:val="auto"/>
          <w:kern w:val="0"/>
          <w:sz w:val="24"/>
        </w:rPr>
        <w:t>）国家级：第一等级奖</w:t>
      </w:r>
      <w:r>
        <w:rPr>
          <w:rFonts w:ascii="宋体" w:hAnsi="宋体" w:eastAsia="宋体" w:cs="宋体"/>
          <w:color w:val="auto"/>
          <w:kern w:val="0"/>
          <w:sz w:val="24"/>
        </w:rPr>
        <w:t>6000</w:t>
      </w:r>
      <w:r>
        <w:rPr>
          <w:rFonts w:hint="eastAsia" w:ascii="宋体" w:hAnsi="宋体" w:eastAsia="宋体" w:cs="宋体"/>
          <w:color w:val="auto"/>
          <w:kern w:val="0"/>
          <w:sz w:val="24"/>
        </w:rPr>
        <w:t>元，第二等级奖</w:t>
      </w:r>
      <w:r>
        <w:rPr>
          <w:rFonts w:ascii="宋体" w:hAnsi="宋体" w:eastAsia="宋体" w:cs="宋体"/>
          <w:color w:val="auto"/>
          <w:kern w:val="0"/>
          <w:sz w:val="24"/>
        </w:rPr>
        <w:t>4000</w:t>
      </w:r>
      <w:r>
        <w:rPr>
          <w:rFonts w:hint="eastAsia" w:ascii="宋体" w:hAnsi="宋体" w:eastAsia="宋体" w:cs="宋体"/>
          <w:color w:val="auto"/>
          <w:kern w:val="0"/>
          <w:sz w:val="24"/>
        </w:rPr>
        <w:t>元、第三等级奖</w:t>
      </w:r>
      <w:r>
        <w:rPr>
          <w:rFonts w:ascii="宋体" w:hAnsi="宋体" w:eastAsia="宋体" w:cs="宋体"/>
          <w:color w:val="auto"/>
          <w:kern w:val="0"/>
          <w:sz w:val="24"/>
        </w:rPr>
        <w:t>1000</w:t>
      </w:r>
      <w:r>
        <w:rPr>
          <w:rFonts w:hint="eastAsia" w:ascii="宋体" w:hAnsi="宋体" w:eastAsia="宋体" w:cs="宋体"/>
          <w:color w:val="auto"/>
          <w:kern w:val="0"/>
          <w:sz w:val="24"/>
        </w:rPr>
        <w:t>元，第四等级奖</w:t>
      </w:r>
      <w:r>
        <w:rPr>
          <w:rFonts w:ascii="宋体" w:hAnsi="宋体" w:eastAsia="宋体" w:cs="宋体"/>
          <w:color w:val="auto"/>
          <w:kern w:val="0"/>
          <w:sz w:val="24"/>
        </w:rPr>
        <w:t>500</w:t>
      </w:r>
      <w:r>
        <w:rPr>
          <w:rFonts w:hint="eastAsia" w:ascii="宋体" w:hAnsi="宋体" w:eastAsia="宋体" w:cs="宋体"/>
          <w:color w:val="auto"/>
          <w:kern w:val="0"/>
          <w:sz w:val="24"/>
        </w:rPr>
        <w:t>元。</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每年度技能竞赛按最高级别发放奖金。同时指导多个学生获奖则按获奖最高级别发给指导老师。学生一人同时参加多个单项项目时，老师按学生每个单项等级奖加权平均。</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如果主办单位所发奖金超过学院奖金，则奖金全部归指导教师所有，学院不另外奖；如果主办单位所发奖金低于学院的标准，则按学院标准补齐。</w:t>
      </w:r>
    </w:p>
    <w:p>
      <w:pPr>
        <w:widowControl/>
        <w:tabs>
          <w:tab w:val="left" w:pos="2865"/>
        </w:tabs>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（二）副指导教师奖励</w:t>
      </w:r>
      <w:r>
        <w:rPr>
          <w:rFonts w:ascii="宋体" w:hAnsi="Calibri" w:eastAsia="宋体" w:cs="宋体"/>
          <w:color w:val="auto"/>
          <w:kern w:val="0"/>
          <w:sz w:val="24"/>
        </w:rPr>
        <w:tab/>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由于</w:t>
      </w:r>
      <w:r>
        <w:rPr>
          <w:rFonts w:hint="eastAsia" w:ascii="宋体" w:hAnsi="宋体" w:eastAsia="宋体" w:cs="宋体"/>
          <w:bCs/>
          <w:color w:val="auto"/>
          <w:kern w:val="0"/>
          <w:sz w:val="24"/>
        </w:rPr>
        <w:t>上级组织部门规定指导教师数的限制，</w:t>
      </w:r>
      <w:r>
        <w:rPr>
          <w:rFonts w:hint="eastAsia" w:ascii="宋体" w:hAnsi="宋体" w:eastAsia="宋体" w:cs="宋体"/>
          <w:color w:val="auto"/>
          <w:kern w:val="0"/>
          <w:sz w:val="24"/>
        </w:rPr>
        <w:t>全程参加辅导学生竞赛的副指导教师，</w:t>
      </w:r>
      <w:r>
        <w:rPr>
          <w:rFonts w:hint="eastAsia" w:ascii="宋体" w:hAnsi="宋体" w:eastAsia="宋体" w:cs="宋体"/>
          <w:color w:val="auto"/>
          <w:kern w:val="0"/>
          <w:sz w:val="24"/>
          <w:lang w:eastAsia="zh-CN"/>
        </w:rPr>
        <w:t>二级学院</w:t>
      </w:r>
      <w:r>
        <w:rPr>
          <w:rFonts w:hint="eastAsia" w:ascii="宋体" w:hAnsi="宋体" w:eastAsia="宋体" w:cs="宋体"/>
          <w:color w:val="auto"/>
          <w:kern w:val="0"/>
          <w:sz w:val="24"/>
        </w:rPr>
        <w:t>根据其辅导情况，对辅导次数超过</w:t>
      </w:r>
      <w:r>
        <w:rPr>
          <w:rFonts w:ascii="宋体" w:hAnsi="宋体" w:eastAsia="宋体" w:cs="宋体"/>
          <w:color w:val="auto"/>
          <w:kern w:val="0"/>
          <w:sz w:val="24"/>
        </w:rPr>
        <w:t>10</w:t>
      </w:r>
      <w:r>
        <w:rPr>
          <w:rFonts w:hint="eastAsia" w:ascii="宋体" w:hAnsi="宋体" w:eastAsia="宋体" w:cs="宋体"/>
          <w:color w:val="auto"/>
          <w:kern w:val="0"/>
          <w:sz w:val="24"/>
        </w:rPr>
        <w:t>次的副指导教师，可申请学院印发辅导证书，副指导教师的辅导费、奖金由竞赛项目负责人从总辅导经费、总竞赛奖金中分配，学院不再给予经费。</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（三）学生奖励</w:t>
      </w:r>
    </w:p>
    <w:p>
      <w:pPr>
        <w:widowControl/>
        <w:spacing w:line="360" w:lineRule="auto"/>
        <w:ind w:firstLine="480" w:firstLineChars="200"/>
        <w:jc w:val="left"/>
        <w:rPr>
          <w:rFonts w:ascii="宋体" w:hAnsi="Calibri" w:eastAsia="宋体" w:cs="宋体"/>
          <w:color w:val="auto"/>
          <w:kern w:val="0"/>
          <w:sz w:val="24"/>
        </w:rPr>
      </w:pPr>
      <w:r>
        <w:rPr>
          <w:rFonts w:ascii="宋体" w:hAnsi="宋体" w:eastAsia="宋体" w:cs="宋体"/>
          <w:color w:val="auto"/>
          <w:kern w:val="0"/>
          <w:sz w:val="24"/>
        </w:rPr>
        <w:t>1.</w:t>
      </w:r>
      <w:r>
        <w:rPr>
          <w:rFonts w:hint="eastAsia" w:ascii="宋体" w:hAnsi="宋体" w:eastAsia="宋体" w:cs="宋体"/>
          <w:color w:val="auto"/>
          <w:kern w:val="0"/>
          <w:sz w:val="24"/>
        </w:rPr>
        <w:t>院内竞赛项目获奖选手只颁发荣誉证书。</w:t>
      </w:r>
    </w:p>
    <w:p>
      <w:pPr>
        <w:widowControl/>
        <w:spacing w:line="360" w:lineRule="auto"/>
        <w:ind w:firstLine="480" w:firstLineChars="200"/>
        <w:jc w:val="left"/>
        <w:rPr>
          <w:rFonts w:ascii="宋体" w:hAnsi="Calibri" w:eastAsia="宋体" w:cs="宋体"/>
          <w:color w:val="auto"/>
          <w:kern w:val="0"/>
          <w:sz w:val="24"/>
        </w:rPr>
      </w:pPr>
      <w:r>
        <w:rPr>
          <w:rFonts w:ascii="宋体" w:hAnsi="宋体" w:eastAsia="宋体" w:cs="宋体"/>
          <w:color w:val="auto"/>
          <w:kern w:val="0"/>
          <w:sz w:val="24"/>
        </w:rPr>
        <w:t>2.</w:t>
      </w:r>
      <w:r>
        <w:rPr>
          <w:rFonts w:hint="eastAsia" w:ascii="宋体" w:hAnsi="宋体" w:eastAsia="宋体" w:cs="宋体"/>
          <w:color w:val="auto"/>
          <w:kern w:val="0"/>
          <w:sz w:val="24"/>
        </w:rPr>
        <w:t>市级以上获奖的学生按以下标准给予奖励：</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w:t>
      </w:r>
      <w:r>
        <w:rPr>
          <w:rFonts w:ascii="宋体" w:hAnsi="宋体" w:eastAsia="宋体" w:cs="宋体"/>
          <w:color w:val="auto"/>
          <w:kern w:val="0"/>
          <w:sz w:val="24"/>
        </w:rPr>
        <w:t>1</w:t>
      </w:r>
      <w:r>
        <w:rPr>
          <w:rFonts w:hint="eastAsia" w:ascii="宋体" w:hAnsi="宋体" w:eastAsia="宋体" w:cs="宋体"/>
          <w:color w:val="auto"/>
          <w:kern w:val="0"/>
          <w:sz w:val="24"/>
        </w:rPr>
        <w:t>）市级每人：第一等级奖</w:t>
      </w:r>
      <w:r>
        <w:rPr>
          <w:rFonts w:ascii="宋体" w:hAnsi="宋体" w:eastAsia="宋体" w:cs="宋体"/>
          <w:color w:val="auto"/>
          <w:kern w:val="0"/>
          <w:sz w:val="24"/>
        </w:rPr>
        <w:t>200</w:t>
      </w:r>
      <w:r>
        <w:rPr>
          <w:rFonts w:hint="eastAsia" w:ascii="宋体" w:hAnsi="宋体" w:eastAsia="宋体" w:cs="宋体"/>
          <w:color w:val="auto"/>
          <w:kern w:val="0"/>
          <w:sz w:val="24"/>
        </w:rPr>
        <w:t>元，第二等级奖</w:t>
      </w:r>
      <w:r>
        <w:rPr>
          <w:rFonts w:ascii="宋体" w:hAnsi="宋体" w:eastAsia="宋体" w:cs="宋体"/>
          <w:color w:val="auto"/>
          <w:kern w:val="0"/>
          <w:sz w:val="24"/>
        </w:rPr>
        <w:t>100</w:t>
      </w:r>
      <w:r>
        <w:rPr>
          <w:rFonts w:hint="eastAsia" w:ascii="宋体" w:hAnsi="宋体" w:eastAsia="宋体" w:cs="宋体"/>
          <w:color w:val="auto"/>
          <w:kern w:val="0"/>
          <w:sz w:val="24"/>
        </w:rPr>
        <w:t>元，第三等级奖</w:t>
      </w:r>
      <w:r>
        <w:rPr>
          <w:rFonts w:ascii="宋体" w:hAnsi="宋体" w:eastAsia="宋体" w:cs="宋体"/>
          <w:color w:val="auto"/>
          <w:kern w:val="0"/>
          <w:sz w:val="24"/>
        </w:rPr>
        <w:t>50</w:t>
      </w:r>
      <w:r>
        <w:rPr>
          <w:rFonts w:hint="eastAsia" w:ascii="宋体" w:hAnsi="宋体" w:eastAsia="宋体" w:cs="宋体"/>
          <w:color w:val="auto"/>
          <w:kern w:val="0"/>
          <w:sz w:val="24"/>
        </w:rPr>
        <w:t>元。</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w:t>
      </w:r>
      <w:r>
        <w:rPr>
          <w:rFonts w:ascii="宋体" w:hAnsi="宋体" w:eastAsia="宋体" w:cs="宋体"/>
          <w:color w:val="auto"/>
          <w:kern w:val="0"/>
          <w:sz w:val="24"/>
        </w:rPr>
        <w:t>2</w:t>
      </w:r>
      <w:r>
        <w:rPr>
          <w:rFonts w:hint="eastAsia" w:ascii="宋体" w:hAnsi="宋体" w:eastAsia="宋体" w:cs="宋体"/>
          <w:color w:val="auto"/>
          <w:kern w:val="0"/>
          <w:sz w:val="24"/>
        </w:rPr>
        <w:t>）省级每人：第一等级奖</w:t>
      </w:r>
      <w:r>
        <w:rPr>
          <w:rFonts w:ascii="宋体" w:hAnsi="宋体" w:eastAsia="宋体" w:cs="宋体"/>
          <w:color w:val="auto"/>
          <w:kern w:val="0"/>
          <w:sz w:val="24"/>
        </w:rPr>
        <w:t>1000</w:t>
      </w:r>
      <w:r>
        <w:rPr>
          <w:rFonts w:hint="eastAsia" w:ascii="宋体" w:hAnsi="宋体" w:eastAsia="宋体" w:cs="宋体"/>
          <w:color w:val="auto"/>
          <w:kern w:val="0"/>
          <w:sz w:val="24"/>
        </w:rPr>
        <w:t>元，第二等级奖</w:t>
      </w:r>
      <w:r>
        <w:rPr>
          <w:rFonts w:ascii="宋体" w:hAnsi="宋体" w:eastAsia="宋体" w:cs="宋体"/>
          <w:color w:val="auto"/>
          <w:kern w:val="0"/>
          <w:sz w:val="24"/>
        </w:rPr>
        <w:t>500</w:t>
      </w:r>
      <w:r>
        <w:rPr>
          <w:rFonts w:hint="eastAsia" w:ascii="宋体" w:hAnsi="宋体" w:eastAsia="宋体" w:cs="宋体"/>
          <w:color w:val="auto"/>
          <w:kern w:val="0"/>
          <w:sz w:val="24"/>
        </w:rPr>
        <w:t>元，第三等级奖</w:t>
      </w:r>
      <w:r>
        <w:rPr>
          <w:rFonts w:ascii="宋体" w:hAnsi="宋体" w:eastAsia="宋体" w:cs="宋体"/>
          <w:color w:val="auto"/>
          <w:kern w:val="0"/>
          <w:sz w:val="24"/>
        </w:rPr>
        <w:t>300</w:t>
      </w:r>
      <w:r>
        <w:rPr>
          <w:rFonts w:hint="eastAsia" w:ascii="宋体" w:hAnsi="宋体" w:eastAsia="宋体" w:cs="宋体"/>
          <w:color w:val="auto"/>
          <w:kern w:val="0"/>
          <w:sz w:val="24"/>
        </w:rPr>
        <w:t>元。</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w:t>
      </w:r>
      <w:r>
        <w:rPr>
          <w:rFonts w:ascii="宋体" w:hAnsi="宋体" w:eastAsia="宋体" w:cs="宋体"/>
          <w:color w:val="auto"/>
          <w:kern w:val="0"/>
          <w:sz w:val="24"/>
        </w:rPr>
        <w:t>3</w:t>
      </w:r>
      <w:r>
        <w:rPr>
          <w:rFonts w:hint="eastAsia" w:ascii="宋体" w:hAnsi="宋体" w:eastAsia="宋体" w:cs="宋体"/>
          <w:color w:val="auto"/>
          <w:kern w:val="0"/>
          <w:sz w:val="24"/>
        </w:rPr>
        <w:t>）国家级每人：第一等级奖</w:t>
      </w:r>
      <w:r>
        <w:rPr>
          <w:rFonts w:ascii="宋体" w:hAnsi="宋体" w:eastAsia="宋体" w:cs="宋体"/>
          <w:color w:val="auto"/>
          <w:kern w:val="0"/>
          <w:sz w:val="24"/>
        </w:rPr>
        <w:t>2000</w:t>
      </w:r>
      <w:r>
        <w:rPr>
          <w:rFonts w:hint="eastAsia" w:ascii="宋体" w:hAnsi="宋体" w:eastAsia="宋体" w:cs="宋体"/>
          <w:color w:val="auto"/>
          <w:kern w:val="0"/>
          <w:sz w:val="24"/>
        </w:rPr>
        <w:t>元，第二等级奖</w:t>
      </w:r>
      <w:r>
        <w:rPr>
          <w:rFonts w:ascii="宋体" w:hAnsi="宋体" w:eastAsia="宋体" w:cs="宋体"/>
          <w:color w:val="auto"/>
          <w:kern w:val="0"/>
          <w:sz w:val="24"/>
        </w:rPr>
        <w:t>1000</w:t>
      </w:r>
      <w:r>
        <w:rPr>
          <w:rFonts w:hint="eastAsia" w:ascii="宋体" w:hAnsi="宋体" w:eastAsia="宋体" w:cs="宋体"/>
          <w:color w:val="auto"/>
          <w:kern w:val="0"/>
          <w:sz w:val="24"/>
        </w:rPr>
        <w:t>元，第三等级奖</w:t>
      </w:r>
      <w:r>
        <w:rPr>
          <w:rFonts w:ascii="宋体" w:hAnsi="宋体" w:eastAsia="宋体" w:cs="宋体"/>
          <w:color w:val="auto"/>
          <w:kern w:val="0"/>
          <w:sz w:val="24"/>
        </w:rPr>
        <w:t>500</w:t>
      </w:r>
      <w:r>
        <w:rPr>
          <w:rFonts w:hint="eastAsia" w:ascii="宋体" w:hAnsi="宋体" w:eastAsia="宋体" w:cs="宋体"/>
          <w:color w:val="auto"/>
          <w:kern w:val="0"/>
          <w:sz w:val="24"/>
        </w:rPr>
        <w:t>元。</w:t>
      </w:r>
    </w:p>
    <w:p>
      <w:pPr>
        <w:widowControl/>
        <w:spacing w:line="360" w:lineRule="auto"/>
        <w:ind w:firstLine="480" w:firstLineChars="200"/>
        <w:jc w:val="left"/>
        <w:rPr>
          <w:rFonts w:ascii="宋体" w:hAnsi="Calibri" w:eastAsia="宋体" w:cs="宋体"/>
          <w:color w:val="auto"/>
          <w:kern w:val="0"/>
          <w:sz w:val="24"/>
        </w:rPr>
      </w:pPr>
      <w:r>
        <w:rPr>
          <w:rFonts w:hint="eastAsia" w:ascii="宋体" w:hAnsi="宋体" w:eastAsia="宋体" w:cs="宋体"/>
          <w:color w:val="auto"/>
          <w:kern w:val="0"/>
          <w:sz w:val="24"/>
        </w:rPr>
        <w:t>每年度（每届）技能竞赛按最高竞赛级别发放奖金。同时参加多个项目按获奖最高级别发放奖金。如果主办单位所发奖金超过学院奖金，则奖金全部归学生所有，学院不另外奖励。如果主办单位所发奖金低于学院的标准，则按学院标准补齐。</w:t>
      </w:r>
    </w:p>
    <w:p>
      <w:pPr>
        <w:widowControl/>
        <w:spacing w:line="360" w:lineRule="auto"/>
        <w:ind w:firstLine="480" w:firstLineChars="200"/>
        <w:jc w:val="left"/>
        <w:rPr>
          <w:rFonts w:ascii="宋体" w:hAnsi="Calibri" w:eastAsia="宋体" w:cs="宋体"/>
          <w:color w:val="auto"/>
          <w:kern w:val="0"/>
          <w:sz w:val="24"/>
        </w:rPr>
      </w:pPr>
      <w:r>
        <w:rPr>
          <w:rFonts w:ascii="宋体" w:hAnsi="宋体" w:eastAsia="宋体" w:cs="宋体"/>
          <w:color w:val="auto"/>
          <w:kern w:val="0"/>
          <w:sz w:val="24"/>
        </w:rPr>
        <w:t>3.</w:t>
      </w:r>
      <w:r>
        <w:rPr>
          <w:rFonts w:hint="eastAsia" w:ascii="宋体" w:hAnsi="宋体" w:eastAsia="宋体" w:cs="宋体"/>
          <w:color w:val="auto"/>
          <w:kern w:val="0"/>
          <w:sz w:val="24"/>
        </w:rPr>
        <w:t>凡获得院竞赛项目单项奖的选手，可推荐参加市级、省级竞赛。</w:t>
      </w:r>
    </w:p>
    <w:p>
      <w:pPr>
        <w:widowControl/>
        <w:spacing w:line="360" w:lineRule="auto"/>
        <w:ind w:firstLine="480" w:firstLineChars="200"/>
        <w:jc w:val="left"/>
        <w:rPr>
          <w:rFonts w:ascii="宋体" w:hAnsi="Calibri" w:eastAsia="宋体" w:cs="宋体"/>
          <w:color w:val="auto"/>
          <w:kern w:val="0"/>
          <w:sz w:val="24"/>
        </w:rPr>
      </w:pPr>
      <w:r>
        <w:rPr>
          <w:rFonts w:ascii="宋体" w:hAnsi="宋体" w:eastAsia="宋体" w:cs="宋体"/>
          <w:color w:val="auto"/>
          <w:kern w:val="0"/>
          <w:sz w:val="24"/>
        </w:rPr>
        <w:t>4.</w:t>
      </w:r>
      <w:r>
        <w:rPr>
          <w:rFonts w:hint="eastAsia" w:ascii="宋体" w:hAnsi="宋体" w:eastAsia="宋体" w:cs="宋体"/>
          <w:color w:val="auto"/>
          <w:kern w:val="0"/>
          <w:sz w:val="24"/>
        </w:rPr>
        <w:t>凡获市级、省级竞赛项目奖的选手，优先推荐实习及就业。</w:t>
      </w:r>
    </w:p>
    <w:p>
      <w:pPr>
        <w:spacing w:line="360" w:lineRule="auto"/>
        <w:jc w:val="center"/>
        <w:rPr>
          <w:rFonts w:ascii="宋体" w:hAnsi="Calibri" w:eastAsia="宋体" w:cs="宋体"/>
          <w:color w:val="auto"/>
          <w:kern w:val="0"/>
          <w:sz w:val="24"/>
        </w:rPr>
      </w:pPr>
      <w:r>
        <w:rPr>
          <w:rFonts w:hint="eastAsia" w:ascii="宋体" w:hAnsi="宋体" w:eastAsia="宋体" w:cs="宋体"/>
          <w:color w:val="auto"/>
          <w:kern w:val="0"/>
          <w:sz w:val="24"/>
        </w:rPr>
        <w:t xml:space="preserve">   （四）原则上学院组织学生参加由上级行政主管部门组织的竞赛。一般不参与行业协会、学会主办的竞赛，如获批准参赛，以上规定均按降低一个级别执行。</w:t>
      </w:r>
    </w:p>
    <w:p>
      <w:pPr>
        <w:tabs>
          <w:tab w:val="left" w:pos="360"/>
          <w:tab w:val="left" w:pos="540"/>
          <w:tab w:val="left" w:pos="735"/>
          <w:tab w:val="left" w:pos="993"/>
        </w:tabs>
        <w:spacing w:line="360" w:lineRule="auto"/>
        <w:rPr>
          <w:rFonts w:ascii="宋体" w:hAnsi="Calibri" w:eastAsia="宋体" w:cs="Times New Roman"/>
          <w:bCs/>
          <w:color w:val="auto"/>
          <w:sz w:val="24"/>
          <w:szCs w:val="24"/>
        </w:rPr>
      </w:pPr>
      <w:r>
        <w:rPr>
          <w:rFonts w:ascii="宋体" w:hAnsi="Calibri" w:eastAsia="宋体" w:cs="Times New Roman"/>
          <w:bCs/>
          <w:color w:val="auto"/>
          <w:sz w:val="24"/>
          <w:szCs w:val="24"/>
        </w:rPr>
        <w:br w:type="page"/>
      </w:r>
    </w:p>
    <w:p>
      <w:pPr>
        <w:pStyle w:val="3"/>
        <w:bidi w:val="0"/>
        <w:jc w:val="center"/>
        <w:rPr>
          <w:color w:val="auto"/>
        </w:rPr>
      </w:pPr>
      <w:bookmarkStart w:id="23" w:name="_Toc13641"/>
      <w:r>
        <w:rPr>
          <w:rFonts w:hint="eastAsia"/>
          <w:color w:val="auto"/>
        </w:rPr>
        <w:t>教室管理办法</w:t>
      </w:r>
      <w:bookmarkEnd w:id="23"/>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教室是进行教学活动的重要场所。为有效利用教室资源，确保正常的教学秩序，特制定本办法。</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一、全院教室由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统一调配使用，其他部门和个人无权调度或擅自使用。凡因擅自使用教室而影响教学的，将追究有关人员的责任，并视情况给予一定的经济处罚。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二、后勤管理部门负责全院教室的日常维护、清洁卫生以及桌椅、黑板、照明、风扇等室内设备（不含电教设备）的管理与维修。</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三、信息中心负责全院教室的电教设备（含多媒体设备及软件</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统、闭路电视</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统、语音广播</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统、电视机、投影仪、扩音设备等）的日常管理与维护。</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四、学院所有教室用于日常教学或学生自习。开放时间从上午</w:t>
      </w:r>
      <w:r>
        <w:rPr>
          <w:rFonts w:ascii="宋体" w:hAnsi="宋体" w:eastAsia="宋体" w:cs="Times New Roman"/>
          <w:color w:val="auto"/>
          <w:sz w:val="24"/>
          <w:szCs w:val="24"/>
        </w:rPr>
        <w:t>6</w:t>
      </w:r>
      <w:r>
        <w:rPr>
          <w:rFonts w:hint="eastAsia" w:ascii="宋体" w:hAnsi="宋体" w:eastAsia="宋体" w:cs="Times New Roman"/>
          <w:color w:val="auto"/>
          <w:sz w:val="24"/>
          <w:szCs w:val="24"/>
        </w:rPr>
        <w:t>：</w:t>
      </w:r>
      <w:r>
        <w:rPr>
          <w:rFonts w:ascii="宋体" w:hAnsi="宋体" w:eastAsia="宋体" w:cs="Times New Roman"/>
          <w:color w:val="auto"/>
          <w:sz w:val="24"/>
          <w:szCs w:val="24"/>
        </w:rPr>
        <w:t>30</w:t>
      </w:r>
      <w:r>
        <w:rPr>
          <w:rFonts w:hint="eastAsia" w:ascii="宋体" w:hAnsi="宋体" w:eastAsia="宋体" w:cs="Times New Roman"/>
          <w:color w:val="auto"/>
          <w:sz w:val="24"/>
          <w:szCs w:val="24"/>
        </w:rPr>
        <w:t>至晚上</w:t>
      </w:r>
      <w:r>
        <w:rPr>
          <w:rFonts w:ascii="宋体" w:hAnsi="宋体" w:eastAsia="宋体" w:cs="Times New Roman"/>
          <w:color w:val="auto"/>
          <w:sz w:val="24"/>
          <w:szCs w:val="24"/>
        </w:rPr>
        <w:t>10</w:t>
      </w:r>
      <w:r>
        <w:rPr>
          <w:rFonts w:hint="eastAsia" w:ascii="宋体" w:hAnsi="宋体" w:eastAsia="宋体" w:cs="Times New Roman"/>
          <w:color w:val="auto"/>
          <w:sz w:val="24"/>
          <w:szCs w:val="24"/>
        </w:rPr>
        <w:t>：</w:t>
      </w:r>
      <w:r>
        <w:rPr>
          <w:rFonts w:ascii="宋体" w:hAnsi="宋体" w:eastAsia="宋体" w:cs="Times New Roman"/>
          <w:color w:val="auto"/>
          <w:sz w:val="24"/>
          <w:szCs w:val="24"/>
        </w:rPr>
        <w:t>30</w:t>
      </w:r>
      <w:r>
        <w:rPr>
          <w:rFonts w:hint="eastAsia" w:ascii="宋体" w:hAnsi="宋体" w:eastAsia="宋体" w:cs="Times New Roman"/>
          <w:color w:val="auto"/>
          <w:sz w:val="24"/>
          <w:szCs w:val="24"/>
        </w:rPr>
        <w:t>（特殊情况除外）。</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使用教室时要爱护室内设备，不准乱拆乱卸、乱涂乱画。不得擅自挪动教室内桌椅，如确需挪动，使用完毕后应将桌椅还原，以保证后续教学活动的正常进行。对损坏教室设施者，除按有关规定赔偿外，还应视情节轻重给予纪律处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六、进入教室的人员应保持教室清洁，不得在教室内吸烟，不得携带食品、饮料进入教室，不得随地吐痰和乱丢果皮、纸屑等杂物。</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七、自觉维护教室的文明环境。严禁在教室及其周围打闹或大声喧哗，进入教室需衣冠整洁，严禁赤膊、赤脚或穿拖鞋进入教室。不得用任何物品抢占座位。</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八、上课期间，任何影响正常上课的教室内外的一切施工和活动都必须停止。</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九、</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于每学期开学前将课程表和教室安排表送达后勤管理部门、信息中心和有关班级，课表或课室安排表发生变动要及时书面通知有关部门。</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十、教室使用应优先保证教学需要。在保证计划教学和学生自习的前提下，校内部门可以借用教室。已借用教室，如遇学院统一安排活动，以学院活动为主，必要时暂停借用。</w:t>
      </w:r>
    </w:p>
    <w:p>
      <w:pPr>
        <w:widowControl/>
        <w:jc w:val="left"/>
        <w:rPr>
          <w:rFonts w:ascii="Calibri" w:hAnsi="Calibri" w:eastAsia="宋体" w:cs="Times New Roman"/>
          <w:color w:val="auto"/>
        </w:rPr>
      </w:pPr>
      <w:r>
        <w:rPr>
          <w:rFonts w:ascii="Calibri" w:hAnsi="Calibri" w:eastAsia="宋体" w:cs="Times New Roman"/>
          <w:color w:val="auto"/>
        </w:rPr>
        <w:br w:type="page"/>
      </w:r>
    </w:p>
    <w:p>
      <w:pPr>
        <w:pStyle w:val="3"/>
        <w:bidi w:val="0"/>
        <w:jc w:val="center"/>
        <w:rPr>
          <w:color w:val="auto"/>
        </w:rPr>
      </w:pPr>
      <w:bookmarkStart w:id="24" w:name="_Toc16647"/>
      <w:r>
        <w:rPr>
          <w:rFonts w:hint="eastAsia"/>
          <w:color w:val="auto"/>
        </w:rPr>
        <w:t>教材管理工作规定</w:t>
      </w:r>
      <w:bookmarkEnd w:id="24"/>
    </w:p>
    <w:p>
      <w:pPr>
        <w:tabs>
          <w:tab w:val="left" w:pos="897"/>
        </w:tabs>
        <w:spacing w:line="360" w:lineRule="auto"/>
        <w:rPr>
          <w:rFonts w:ascii="Calibri" w:hAnsi="Calibri" w:eastAsia="宋体" w:cs="Times New Roman"/>
          <w:color w:val="auto"/>
        </w:rPr>
      </w:pP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教材是教师传授知识、学生学习知识和技能的重要载体，是开展教学的必备工具，搞好教材建设与教材供应，是深化教学改革，提高教学质量，稳定教学秩序，实现学院人才培养目标的重要保证。为了做好学院教材</w:t>
      </w:r>
      <w:r>
        <w:rPr>
          <w:rFonts w:hint="eastAsia" w:ascii="宋体" w:hAnsi="宋体" w:eastAsia="宋体" w:cs="Times New Roman"/>
          <w:color w:val="auto"/>
          <w:sz w:val="24"/>
          <w:szCs w:val="28"/>
        </w:rPr>
        <w:t>出入库</w:t>
      </w:r>
      <w:r>
        <w:rPr>
          <w:rFonts w:hint="eastAsia" w:ascii="宋体" w:hAnsi="宋体" w:eastAsia="宋体" w:cs="宋体"/>
          <w:color w:val="auto"/>
          <w:kern w:val="0"/>
          <w:sz w:val="24"/>
          <w:szCs w:val="28"/>
        </w:rPr>
        <w:t>管理工作，满足教学需要，结合我院实际情况，特制定本办法。</w:t>
      </w:r>
    </w:p>
    <w:p>
      <w:pPr>
        <w:widowControl/>
        <w:shd w:val="clear" w:color="auto" w:fill="FFFFFF"/>
        <w:spacing w:line="360" w:lineRule="auto"/>
        <w:ind w:firstLine="480" w:firstLineChars="200"/>
        <w:jc w:val="left"/>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 xml:space="preserve">一、 </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是全院教材的归口管理部门，负责组织全院教材的订购、发放、经费核算，并负责教师自编教材的审批、印刷、发放、评优推荐出版等工作。</w:t>
      </w:r>
    </w:p>
    <w:p>
      <w:pPr>
        <w:widowControl/>
        <w:shd w:val="clear" w:color="auto" w:fill="FFFFFF"/>
        <w:spacing w:line="360" w:lineRule="auto"/>
        <w:ind w:firstLine="480" w:firstLineChars="200"/>
        <w:jc w:val="left"/>
        <w:rPr>
          <w:rFonts w:hint="eastAsia" w:ascii="宋体" w:hAnsi="宋体" w:eastAsia="宋体" w:cs="宋体"/>
          <w:color w:val="auto"/>
          <w:kern w:val="0"/>
          <w:sz w:val="24"/>
          <w:szCs w:val="28"/>
          <w:highlight w:val="none"/>
        </w:rPr>
      </w:pPr>
      <w:r>
        <w:rPr>
          <w:rFonts w:ascii="宋体" w:hAnsi="宋体" w:eastAsia="宋体" w:cs="宋体"/>
          <w:color w:val="auto"/>
          <w:kern w:val="0"/>
          <w:sz w:val="24"/>
          <w:szCs w:val="28"/>
          <w:highlight w:val="none"/>
        </w:rPr>
        <w:t>二</w:t>
      </w:r>
      <w:r>
        <w:rPr>
          <w:rFonts w:hint="eastAsia" w:ascii="宋体" w:hAnsi="宋体" w:eastAsia="宋体" w:cs="宋体"/>
          <w:color w:val="auto"/>
          <w:kern w:val="0"/>
          <w:sz w:val="24"/>
          <w:szCs w:val="28"/>
          <w:highlight w:val="none"/>
        </w:rPr>
        <w:t>、</w:t>
      </w:r>
      <w:r>
        <w:rPr>
          <w:rFonts w:ascii="宋体" w:hAnsi="宋体" w:eastAsia="宋体" w:cs="宋体"/>
          <w:color w:val="auto"/>
          <w:kern w:val="0"/>
          <w:sz w:val="24"/>
          <w:szCs w:val="28"/>
          <w:highlight w:val="none"/>
        </w:rPr>
        <w:t>教材选用流程</w:t>
      </w:r>
    </w:p>
    <w:p>
      <w:pPr>
        <w:widowControl/>
        <w:shd w:val="clear" w:color="auto" w:fill="FFFFFF"/>
        <w:spacing w:line="360" w:lineRule="auto"/>
        <w:ind w:firstLine="480" w:firstLineChars="200"/>
        <w:jc w:val="left"/>
        <w:rPr>
          <w:rFonts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教材选用主要经过“教师推荐”，“院</w:t>
      </w:r>
      <w:r>
        <w:rPr>
          <w:rFonts w:hint="eastAsia" w:ascii="宋体" w:hAnsi="宋体" w:eastAsia="宋体" w:cs="宋体"/>
          <w:color w:val="auto"/>
          <w:kern w:val="0"/>
          <w:sz w:val="24"/>
          <w:szCs w:val="28"/>
          <w:highlight w:val="none"/>
          <w:lang w:eastAsia="zh-CN"/>
        </w:rPr>
        <w:t>二级学院</w:t>
      </w:r>
      <w:r>
        <w:rPr>
          <w:rFonts w:hint="eastAsia" w:ascii="宋体" w:hAnsi="宋体" w:eastAsia="宋体" w:cs="宋体"/>
          <w:color w:val="auto"/>
          <w:kern w:val="0"/>
          <w:sz w:val="24"/>
          <w:szCs w:val="28"/>
          <w:highlight w:val="none"/>
        </w:rPr>
        <w:t>初审”，“院内专家审查”，“学院确认”四个步骤。</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三、教材选用原则</w:t>
      </w:r>
    </w:p>
    <w:p>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（一）教材及教辅资料的选用必须以人才培养方案和</w:t>
      </w:r>
      <w:r>
        <w:rPr>
          <w:rFonts w:hint="eastAsia" w:ascii="宋体" w:hAnsi="宋体" w:eastAsia="宋体" w:cs="宋体"/>
          <w:color w:val="auto"/>
          <w:kern w:val="0"/>
          <w:sz w:val="24"/>
          <w:szCs w:val="28"/>
          <w:lang w:eastAsia="zh-CN"/>
        </w:rPr>
        <w:t xml:space="preserve"> 课程标准</w:t>
      </w:r>
      <w:r>
        <w:rPr>
          <w:rFonts w:hint="eastAsia" w:ascii="宋体" w:hAnsi="宋体" w:eastAsia="宋体" w:cs="宋体"/>
          <w:color w:val="auto"/>
          <w:kern w:val="0"/>
          <w:sz w:val="24"/>
          <w:szCs w:val="28"/>
        </w:rPr>
        <w:t>为依据，要符合专业特色和培养目标要求。</w:t>
      </w:r>
    </w:p>
    <w:p>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（二）思政课、文化基础课，严格按照上级有关行政主管部门文件规定选用教材。</w:t>
      </w:r>
    </w:p>
    <w:p>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三）专业课教材必须选用近年公开出版的适合本专业的新教材。原则上选用本专业相对应的国家行政部门直属的专业出版社出版发行的专业教材，首选人民卫生出版社、中国医药出版社、中国中医药出版社、高等教育出版社出版发行的教材。</w:t>
      </w:r>
    </w:p>
    <w:p>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（四）所选教材及教辅资料必须具有很强的科学性、</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统性、先进性和实用性，必须有利于提高学生分析问题、解决问题的能力，有利于培养学生的创新精神。</w:t>
      </w:r>
    </w:p>
    <w:p>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（五）无上级有关部门特殊要求时，符合专业培养目标及培养层次前提下优先选用本校教师参编的同类优秀教材。</w:t>
      </w:r>
    </w:p>
    <w:p>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（六）任何部门和个人不得向学生推销未经</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审核，主管副院长、院长批准的各种教材或教辅资料。</w:t>
      </w:r>
    </w:p>
    <w:p>
      <w:pPr>
        <w:widowControl/>
        <w:shd w:val="clear" w:color="auto" w:fill="FFFFFF"/>
        <w:adjustRightInd w:val="0"/>
        <w:snapToGrid w:val="0"/>
        <w:spacing w:line="360" w:lineRule="auto"/>
        <w:ind w:firstLine="480" w:firstLineChars="200"/>
        <w:jc w:val="left"/>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（七）征订教材不准订购任何违反《中华人民共和国宪法》、涉及宗教内容等违反国家有关规定的教材。</w:t>
      </w:r>
    </w:p>
    <w:p>
      <w:pPr>
        <w:widowControl/>
        <w:shd w:val="clear" w:color="auto" w:fill="FFFFFF"/>
        <w:adjustRightInd w:val="0"/>
        <w:snapToGrid w:val="0"/>
        <w:spacing w:line="360" w:lineRule="auto"/>
        <w:ind w:firstLine="480" w:firstLineChars="200"/>
        <w:jc w:val="left"/>
        <w:rPr>
          <w:rFonts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（八）未经报批及审查的境外原版教材一律不准擅自预定、发放和使用。</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四、为保证教材能于课前及时到位，须加强教材订购的计划性，</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每年及时组织各</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（部）征订学生使用教材。</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五、各</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（部）接到</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印发的教材征订目录后，组织各教研室认真研究教材订购版本，并由</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（部）汇总，经</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（部）主任签字后及时报送教材科。</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六、教材订购员</w:t>
      </w:r>
      <w:r>
        <w:rPr>
          <w:rFonts w:hint="eastAsia" w:ascii="宋体" w:hAnsi="宋体" w:eastAsia="宋体" w:cs="Times New Roman"/>
          <w:color w:val="auto"/>
          <w:sz w:val="24"/>
          <w:szCs w:val="28"/>
        </w:rPr>
        <w:t>负责教材选用调查、制定教材订购计划、教材发放计划、教材领用确认表、学生书费统计汇总工作。</w:t>
      </w:r>
      <w:r>
        <w:rPr>
          <w:rFonts w:hint="eastAsia" w:ascii="宋体" w:hAnsi="宋体" w:eastAsia="宋体" w:cs="宋体"/>
          <w:color w:val="auto"/>
          <w:kern w:val="0"/>
          <w:sz w:val="24"/>
          <w:szCs w:val="28"/>
        </w:rPr>
        <w:t>采购一律由</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统一负责办理，其它任何单位和个人未经批准不得自行征订和采购。</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七、教材订购员</w:t>
      </w:r>
      <w:r>
        <w:rPr>
          <w:rFonts w:hint="eastAsia" w:ascii="宋体" w:hAnsi="宋体" w:eastAsia="宋体" w:cs="Times New Roman"/>
          <w:color w:val="auto"/>
          <w:sz w:val="24"/>
          <w:szCs w:val="28"/>
        </w:rPr>
        <w:t>制定发放计划，以班级为单位打包教材，每个班级教材必须附上教材领用确认表，由班主任或学生干部签收才能发放，努力做到“课前到书、人手一套”。</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八、</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应与教材发行单位保持联</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，广泛收集教材信息，及时与有</w:t>
      </w:r>
      <w:r>
        <w:rPr>
          <w:rFonts w:hint="eastAsia" w:ascii="宋体" w:hAnsi="宋体" w:eastAsia="宋体" w:cs="宋体"/>
          <w:color w:val="auto"/>
          <w:kern w:val="0"/>
          <w:sz w:val="24"/>
          <w:szCs w:val="28"/>
          <w:lang w:eastAsia="zh-CN"/>
        </w:rPr>
        <w:t>关系</w:t>
      </w:r>
      <w:r>
        <w:rPr>
          <w:rFonts w:hint="eastAsia" w:ascii="宋体" w:hAnsi="宋体" w:eastAsia="宋体" w:cs="宋体"/>
          <w:color w:val="auto"/>
          <w:kern w:val="0"/>
          <w:sz w:val="24"/>
          <w:szCs w:val="28"/>
        </w:rPr>
        <w:t>（部）沟通，提供教材目录和内容介绍，使教师能根据不同的使用对象选择适用的教材。</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宋体"/>
          <w:color w:val="auto"/>
          <w:kern w:val="0"/>
          <w:sz w:val="24"/>
          <w:szCs w:val="28"/>
        </w:rPr>
        <w:t>九、因教学需要而又无法订购到相关教材需自行编印教材（含讲义）时，由</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（部）提出申请，报</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审批后，</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负责印刷工作，各</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（部）应严把自编教材（含讲义）的质量关。</w:t>
      </w:r>
    </w:p>
    <w:p>
      <w:pPr>
        <w:widowControl/>
        <w:shd w:val="clear" w:color="auto" w:fill="FFFFFF"/>
        <w:spacing w:line="360" w:lineRule="auto"/>
        <w:ind w:firstLine="480" w:firstLineChars="200"/>
        <w:jc w:val="left"/>
        <w:rPr>
          <w:rFonts w:ascii="宋体" w:hAnsi="宋体" w:eastAsia="宋体" w:cs="宋体"/>
          <w:color w:val="auto"/>
          <w:kern w:val="0"/>
          <w:sz w:val="24"/>
          <w:szCs w:val="28"/>
        </w:rPr>
      </w:pPr>
      <w:r>
        <w:rPr>
          <w:rFonts w:hint="eastAsia" w:ascii="宋体" w:hAnsi="宋体" w:eastAsia="宋体" w:cs="Times New Roman"/>
          <w:color w:val="auto"/>
          <w:sz w:val="24"/>
          <w:szCs w:val="28"/>
        </w:rPr>
        <w:t>十、</w:t>
      </w:r>
      <w:r>
        <w:rPr>
          <w:rFonts w:hint="eastAsia" w:ascii="宋体" w:hAnsi="宋体" w:eastAsia="宋体" w:cs="宋体"/>
          <w:color w:val="auto"/>
          <w:kern w:val="0"/>
          <w:sz w:val="24"/>
          <w:szCs w:val="28"/>
        </w:rPr>
        <w:t>书库保管员、书库协管员</w:t>
      </w:r>
      <w:r>
        <w:rPr>
          <w:rFonts w:hint="eastAsia" w:ascii="宋体" w:hAnsi="宋体" w:eastAsia="宋体" w:cs="Times New Roman"/>
          <w:color w:val="auto"/>
          <w:sz w:val="24"/>
          <w:szCs w:val="28"/>
        </w:rPr>
        <w:t>负责教材验收、对账、入账、结账、发放、盘点工作。</w:t>
      </w:r>
      <w:r>
        <w:rPr>
          <w:rFonts w:hint="eastAsia" w:ascii="宋体" w:hAnsi="宋体" w:eastAsia="宋体" w:cs="宋体"/>
          <w:color w:val="auto"/>
          <w:kern w:val="0"/>
          <w:sz w:val="24"/>
          <w:szCs w:val="28"/>
        </w:rPr>
        <w:t>验收时仔细核对书名、编者、版次、数量、价格等，并在入库单上签名确认。所入库教材如有印刷、装订等质量问题，应及时反映，</w:t>
      </w:r>
      <w:r>
        <w:rPr>
          <w:rFonts w:hint="eastAsia" w:ascii="宋体" w:hAnsi="宋体" w:eastAsia="宋体" w:cs="宋体"/>
          <w:color w:val="auto"/>
          <w:kern w:val="0"/>
          <w:sz w:val="24"/>
          <w:szCs w:val="28"/>
          <w:lang w:eastAsia="zh-CN"/>
        </w:rPr>
        <w:t>教务部</w:t>
      </w:r>
      <w:r>
        <w:rPr>
          <w:rFonts w:hint="eastAsia" w:ascii="宋体" w:hAnsi="宋体" w:eastAsia="宋体" w:cs="宋体"/>
          <w:color w:val="auto"/>
          <w:kern w:val="0"/>
          <w:sz w:val="24"/>
          <w:szCs w:val="28"/>
        </w:rPr>
        <w:t>与有关方面联</w:t>
      </w:r>
      <w:r>
        <w:rPr>
          <w:rFonts w:hint="eastAsia" w:ascii="宋体" w:hAnsi="宋体" w:eastAsia="宋体" w:cs="宋体"/>
          <w:color w:val="auto"/>
          <w:kern w:val="0"/>
          <w:sz w:val="24"/>
          <w:szCs w:val="28"/>
          <w:lang w:eastAsia="zh-CN"/>
        </w:rPr>
        <w:t>二级学院</w:t>
      </w:r>
      <w:r>
        <w:rPr>
          <w:rFonts w:hint="eastAsia" w:ascii="宋体" w:hAnsi="宋体" w:eastAsia="宋体" w:cs="宋体"/>
          <w:color w:val="auto"/>
          <w:kern w:val="0"/>
          <w:sz w:val="24"/>
          <w:szCs w:val="28"/>
        </w:rPr>
        <w:t>并尽快解决。</w:t>
      </w:r>
    </w:p>
    <w:p>
      <w:pPr>
        <w:spacing w:line="360" w:lineRule="auto"/>
        <w:ind w:firstLine="480" w:firstLineChars="200"/>
        <w:rPr>
          <w:rFonts w:ascii="宋体" w:hAnsi="宋体" w:eastAsia="宋体" w:cs="Times New Roman"/>
          <w:color w:val="auto"/>
          <w:sz w:val="24"/>
          <w:szCs w:val="28"/>
        </w:rPr>
      </w:pPr>
      <w:r>
        <w:rPr>
          <w:rFonts w:hint="eastAsia" w:ascii="宋体" w:hAnsi="宋体" w:eastAsia="宋体" w:cs="Times New Roman"/>
          <w:color w:val="auto"/>
          <w:sz w:val="24"/>
          <w:szCs w:val="28"/>
        </w:rPr>
        <w:t>十一、每学期开始，教师备课所需教材要经过教研组同意，</w:t>
      </w:r>
      <w:r>
        <w:rPr>
          <w:rFonts w:hint="eastAsia" w:ascii="宋体" w:hAnsi="宋体" w:eastAsia="宋体" w:cs="Times New Roman"/>
          <w:color w:val="auto"/>
          <w:sz w:val="24"/>
          <w:szCs w:val="28"/>
          <w:lang w:eastAsia="zh-CN"/>
        </w:rPr>
        <w:t>教务部</w:t>
      </w:r>
      <w:r>
        <w:rPr>
          <w:rFonts w:hint="eastAsia" w:ascii="宋体" w:hAnsi="宋体" w:eastAsia="宋体" w:cs="Times New Roman"/>
          <w:color w:val="auto"/>
          <w:sz w:val="24"/>
          <w:szCs w:val="28"/>
        </w:rPr>
        <w:t>批准，由教师到书库登记签领。</w:t>
      </w:r>
    </w:p>
    <w:p>
      <w:pPr>
        <w:spacing w:line="360" w:lineRule="auto"/>
        <w:ind w:firstLine="480" w:firstLineChars="200"/>
        <w:rPr>
          <w:rFonts w:ascii="宋体" w:hAnsi="宋体" w:eastAsia="宋体" w:cs="Times New Roman"/>
          <w:color w:val="auto"/>
          <w:sz w:val="24"/>
          <w:szCs w:val="28"/>
        </w:rPr>
      </w:pPr>
      <w:r>
        <w:rPr>
          <w:rFonts w:hint="eastAsia" w:ascii="宋体" w:hAnsi="宋体" w:eastAsia="宋体" w:cs="Times New Roman"/>
          <w:color w:val="auto"/>
          <w:sz w:val="24"/>
          <w:szCs w:val="28"/>
        </w:rPr>
        <w:t>十二、学生领取教材15天内，若发现缺页、倒页等情况可更换，超期或有书写笔迹，一律不得退换。</w:t>
      </w:r>
    </w:p>
    <w:p>
      <w:pPr>
        <w:spacing w:line="360" w:lineRule="auto"/>
        <w:ind w:firstLine="480" w:firstLineChars="200"/>
        <w:rPr>
          <w:rFonts w:ascii="宋体" w:hAnsi="宋体" w:eastAsia="宋体" w:cs="Times New Roman"/>
          <w:color w:val="auto"/>
          <w:sz w:val="24"/>
          <w:szCs w:val="28"/>
        </w:rPr>
      </w:pPr>
      <w:r>
        <w:rPr>
          <w:rFonts w:hint="eastAsia" w:ascii="宋体" w:hAnsi="宋体" w:eastAsia="宋体" w:cs="Times New Roman"/>
          <w:color w:val="auto"/>
          <w:sz w:val="24"/>
          <w:szCs w:val="28"/>
        </w:rPr>
        <w:t>十三、一般不为外单位代购教材，如有特殊情况必须在保证本院需要的前提下，酌情解决。学生需购买教材作参考书或遗失后若需申购，须本人提出申请，经</w:t>
      </w:r>
      <w:r>
        <w:rPr>
          <w:rFonts w:hint="eastAsia" w:ascii="宋体" w:hAnsi="宋体" w:eastAsia="宋体" w:cs="Times New Roman"/>
          <w:color w:val="auto"/>
          <w:sz w:val="24"/>
          <w:szCs w:val="28"/>
          <w:lang w:eastAsia="zh-CN"/>
        </w:rPr>
        <w:t>教务部</w:t>
      </w:r>
      <w:r>
        <w:rPr>
          <w:rFonts w:hint="eastAsia" w:ascii="宋体" w:hAnsi="宋体" w:eastAsia="宋体" w:cs="Times New Roman"/>
          <w:color w:val="auto"/>
          <w:sz w:val="24"/>
          <w:szCs w:val="28"/>
        </w:rPr>
        <w:t>批准后方可购买。</w:t>
      </w:r>
    </w:p>
    <w:p>
      <w:pPr>
        <w:spacing w:line="360" w:lineRule="auto"/>
        <w:ind w:firstLine="480" w:firstLineChars="200"/>
        <w:rPr>
          <w:rFonts w:ascii="宋体" w:hAnsi="宋体" w:eastAsia="宋体" w:cs="Times New Roman"/>
          <w:color w:val="auto"/>
          <w:sz w:val="24"/>
          <w:szCs w:val="28"/>
        </w:rPr>
      </w:pPr>
      <w:r>
        <w:rPr>
          <w:rFonts w:hint="eastAsia" w:ascii="宋体" w:hAnsi="宋体" w:eastAsia="宋体" w:cs="Times New Roman"/>
          <w:color w:val="auto"/>
          <w:sz w:val="24"/>
          <w:szCs w:val="28"/>
        </w:rPr>
        <w:t>十四、严格按照规定每半年进行一次盘库，做到账物相符，积存的教材要及时处理，防止积压过久，努力做到零库存。</w:t>
      </w:r>
    </w:p>
    <w:p>
      <w:pPr>
        <w:pStyle w:val="3"/>
        <w:bidi w:val="0"/>
        <w:jc w:val="center"/>
        <w:rPr>
          <w:color w:val="auto"/>
        </w:rPr>
      </w:pPr>
      <w:bookmarkStart w:id="25" w:name="_Toc26667"/>
      <w:r>
        <w:rPr>
          <w:rFonts w:hint="eastAsia"/>
          <w:color w:val="auto"/>
        </w:rPr>
        <w:t>专业建设管理办法</w:t>
      </w:r>
      <w:bookmarkEnd w:id="25"/>
    </w:p>
    <w:p>
      <w:pPr>
        <w:spacing w:line="360" w:lineRule="auto"/>
        <w:ind w:firstLine="480" w:firstLineChars="200"/>
        <w:rPr>
          <w:rFonts w:ascii="宋体" w:hAnsi="Calibri" w:eastAsia="宋体" w:cs="Times New Roman"/>
          <w:color w:val="auto"/>
          <w:sz w:val="24"/>
          <w:szCs w:val="24"/>
        </w:rPr>
      </w:pP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一、总则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专业建设是高等院校十分重要的基本建设，是打造学院教学品牌的重要载体。为落实我院专业发展规划，有计划、有步骤、分层次、有重点地开展专业建设，努力打造一批质量高、特色鲜明的重点专业，提高我院的办学水平和教学质量，特制定本办法。</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二、专业建设基本原则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（一）坚持优化专业结构和提高专业质量相结合的原则，加强专业建设。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根据社会经济发展及本地区医疗卫生事业结构调整的需要，以教育部和教育厅的政策为依据，以就业导向，以提高学生综合素质和就业竞争力为核心，以师资队伍建设和完善办学条件为重点，结合我院办学的总体规划，重点建设和扶植社会适应面广、教学基础条件好、专业特色显明、师资力量强、办学效益好、有一定社会影响的优势专业，同时在广泛调研，充分论证的基础上，发挥学院办学优势，积极稳妥推进专业结构调整，增设就业前景好的专业，并加大投入，强化新专业建设，用</w:t>
      </w:r>
      <w:r>
        <w:rPr>
          <w:rFonts w:ascii="宋体" w:hAnsi="宋体" w:eastAsia="宋体" w:cs="Times New Roman"/>
          <w:color w:val="auto"/>
          <w:sz w:val="24"/>
          <w:szCs w:val="24"/>
        </w:rPr>
        <w:t>3</w:t>
      </w:r>
      <w:r>
        <w:rPr>
          <w:rFonts w:hint="eastAsia" w:ascii="宋体" w:hAnsi="宋体" w:eastAsia="宋体" w:cs="Times New Roman"/>
          <w:color w:val="auto"/>
          <w:sz w:val="24"/>
          <w:szCs w:val="24"/>
        </w:rPr>
        <w:t>～</w:t>
      </w:r>
      <w:r>
        <w:rPr>
          <w:rFonts w:ascii="宋体" w:hAnsi="宋体" w:eastAsia="宋体" w:cs="Times New Roman"/>
          <w:color w:val="auto"/>
          <w:sz w:val="24"/>
          <w:szCs w:val="24"/>
        </w:rPr>
        <w:t xml:space="preserve">5 </w:t>
      </w:r>
      <w:r>
        <w:rPr>
          <w:rFonts w:hint="eastAsia" w:ascii="宋体" w:hAnsi="宋体" w:eastAsia="宋体" w:cs="Times New Roman"/>
          <w:color w:val="auto"/>
          <w:sz w:val="24"/>
          <w:szCs w:val="24"/>
        </w:rPr>
        <w:t>年时间使之成为学院，甚至省的重点专业。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（三）以工学结合、校企合作、产教融合为引领，以专业人才培养模式改革为切入口，以专业课程群建设为核心，以师资水平提高、实验实训教学条件建设和学生专业技能培养为抓手，切实提高专业建设质量。</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（四）专业建设要坚持可持续发展的原则，专业建设必须与学院专业发展规划及学院的教学改革与发展相结合，在学院专业整体规划、改造、发展的基础上有重点的建设。</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三、专业建设目标</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总体目标：经过三到五年时间的努力，建成</w:t>
      </w:r>
      <w:r>
        <w:rPr>
          <w:rFonts w:ascii="宋体" w:hAnsi="宋体" w:eastAsia="宋体" w:cs="Times New Roman"/>
          <w:color w:val="auto"/>
          <w:sz w:val="24"/>
          <w:szCs w:val="24"/>
        </w:rPr>
        <w:t>8</w:t>
      </w:r>
      <w:r>
        <w:rPr>
          <w:rFonts w:hint="eastAsia" w:ascii="宋体" w:hAnsi="宋体" w:eastAsia="宋体" w:cs="Times New Roman"/>
          <w:color w:val="auto"/>
          <w:sz w:val="24"/>
          <w:szCs w:val="24"/>
        </w:rPr>
        <w:t>～</w:t>
      </w:r>
      <w:r>
        <w:rPr>
          <w:rFonts w:ascii="宋体" w:hAnsi="宋体" w:eastAsia="宋体" w:cs="Times New Roman"/>
          <w:color w:val="auto"/>
          <w:sz w:val="24"/>
          <w:szCs w:val="24"/>
        </w:rPr>
        <w:t>10</w:t>
      </w:r>
      <w:r>
        <w:rPr>
          <w:rFonts w:hint="eastAsia" w:ascii="宋体" w:hAnsi="宋体" w:eastAsia="宋体" w:cs="Times New Roman"/>
          <w:color w:val="auto"/>
          <w:sz w:val="24"/>
          <w:szCs w:val="24"/>
        </w:rPr>
        <w:t>个校级重点专业或特色专业，</w:t>
      </w:r>
      <w:r>
        <w:rPr>
          <w:rFonts w:ascii="宋体" w:hAnsi="宋体" w:eastAsia="宋体" w:cs="Times New Roman"/>
          <w:color w:val="auto"/>
          <w:sz w:val="24"/>
          <w:szCs w:val="24"/>
        </w:rPr>
        <w:t>3</w:t>
      </w:r>
      <w:r>
        <w:rPr>
          <w:rFonts w:hint="eastAsia" w:ascii="宋体" w:hAnsi="宋体" w:eastAsia="宋体" w:cs="Times New Roman"/>
          <w:color w:val="auto"/>
          <w:sz w:val="24"/>
          <w:szCs w:val="24"/>
        </w:rPr>
        <w:t>～</w:t>
      </w:r>
      <w:r>
        <w:rPr>
          <w:rFonts w:ascii="宋体" w:hAnsi="宋体" w:eastAsia="宋体" w:cs="Times New Roman"/>
          <w:color w:val="auto"/>
          <w:sz w:val="24"/>
          <w:szCs w:val="24"/>
        </w:rPr>
        <w:t>5</w:t>
      </w:r>
      <w:r>
        <w:rPr>
          <w:rFonts w:hint="eastAsia" w:ascii="宋体" w:hAnsi="宋体" w:eastAsia="宋体" w:cs="Times New Roman"/>
          <w:color w:val="auto"/>
          <w:sz w:val="24"/>
          <w:szCs w:val="24"/>
        </w:rPr>
        <w:t>个省级重点建设专业或特色专业，</w:t>
      </w:r>
      <w:r>
        <w:rPr>
          <w:rFonts w:ascii="宋体" w:hAnsi="宋体" w:eastAsia="宋体" w:cs="Times New Roman"/>
          <w:color w:val="auto"/>
          <w:sz w:val="24"/>
          <w:szCs w:val="24"/>
        </w:rPr>
        <w:t>2</w:t>
      </w:r>
      <w:r>
        <w:rPr>
          <w:rFonts w:hint="eastAsia" w:ascii="宋体" w:hAnsi="宋体" w:eastAsia="宋体" w:cs="Times New Roman"/>
          <w:color w:val="auto"/>
          <w:sz w:val="24"/>
          <w:szCs w:val="24"/>
        </w:rPr>
        <w:t>～</w:t>
      </w:r>
      <w:r>
        <w:rPr>
          <w:rFonts w:ascii="宋体" w:hAnsi="宋体" w:eastAsia="宋体" w:cs="Times New Roman"/>
          <w:color w:val="auto"/>
          <w:sz w:val="24"/>
          <w:szCs w:val="24"/>
        </w:rPr>
        <w:t>3</w:t>
      </w:r>
      <w:r>
        <w:rPr>
          <w:rFonts w:hint="eastAsia" w:ascii="宋体" w:hAnsi="宋体" w:eastAsia="宋体" w:cs="Times New Roman"/>
          <w:color w:val="auto"/>
          <w:sz w:val="24"/>
          <w:szCs w:val="24"/>
        </w:rPr>
        <w:t>个国家级重点专业。</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四、重点专业建设的组织</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学院成立专业建设指导委员会，负责校级重点专业建设项目的规划、立项、评审、经费划拨、经费预算的审批、年度检查及验收工作；同时负责省、国家重点专业、示范专业及试点专业的推荐、申报、建设和管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（部）负责本部门重点专业建设的规划、组织申报，并负责解决专业建设中遇到的重大问题。各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（部）成立重点专业建设工作小组，其成员一般由</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主任（或主管教学的副主任）、专业带头人、专业骨干教师等组成，其职责是负责重点专业建设中的组织与协调工作。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（三）重点专业建设项目的负责人是重点建设专业的第一责任人，其职责是负责重点专业建设项目的申报、建设方案的制定、建设任务的分解与落实、经费使用和日常管理、重点建设专业的年度检查等工作。</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五、重点专业建设立项评审的基本条件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（一）具有一定的社会需求及一定的专业辐射面，招生来源充足，就业前景广阔；在省内同类专业中有一定优势，对全省的社会经济发展有积极影响并与医疗卫生事业发展结合紧密。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（二）具备较好的办学条件，有明确的专业建设思路、规划和措施；有合理的经费预算方案；专业人才培养目标明确，学生知识、能力、素质结构符合行业企业结构和技术升级的需要。</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（三）专业建设带头人必须具有副高以上的职称，有一定的专业研究方向，专业研究成果突出。</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（四）师资队伍满足教学要求，综合素质水平较高，学历结构、职称结构较为合理，高级职称教师、硕士以上学位教师和</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双师</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素质教师均符合国家有关要求。专业实验和实训指导教师满足教学要求，实践能力强；教学文件齐全；教学管理到位；注重教材的合理选用，并有一定的自编教材。</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六、重点专业建设项目的申报与审定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（一）重点专业建设项目的申报与审定程序为：专业带头人申报，所在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（部）初审并推荐，</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审核，校专业建设委员会评审，公示评审结果，院长办公会议审批。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重点专业建设项目的申报必须填写《广东江门中医药职业学院重点专业建设申报表》，院专业建设指导委员会根据《广东江门中医药职业学院重点专业建设立项评审表》对专业申报情况通过评分、排序方式，确定院重点专业建设建议名单。未确定为重点专业而又确有培育前途的专业，可以列为院重点培育专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（三）重点建设专业的申报工作原则上每年一次，建设期一般为</w:t>
      </w:r>
      <w:r>
        <w:rPr>
          <w:rFonts w:ascii="宋体" w:hAnsi="宋体" w:eastAsia="宋体" w:cs="Times New Roman"/>
          <w:color w:val="auto"/>
          <w:sz w:val="24"/>
          <w:szCs w:val="24"/>
        </w:rPr>
        <w:t xml:space="preserve">3 </w:t>
      </w:r>
      <w:r>
        <w:rPr>
          <w:rFonts w:hint="eastAsia" w:ascii="宋体" w:hAnsi="宋体" w:eastAsia="宋体" w:cs="Times New Roman"/>
          <w:color w:val="auto"/>
          <w:sz w:val="24"/>
          <w:szCs w:val="24"/>
        </w:rPr>
        <w:t>年。</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七、重点专业建设的扶持措施</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凡列入校级重点建设或重点培育的专业，学院将给予专项建设经费。建设经费包括专业建设一般费用、教改项目费用等。校重点培育专业资助费用参照重点专业资助标准酌情资助。专项经费分四批下拨，由专业负责人负责；第一批为启动经费，在项目立项后拨给；第二、三批为年度建设费，在学年检查后根据检查情况拨给；第四批经费在验收后，根据验收结果拨给。经费分配比例如下：</w:t>
      </w:r>
    </w:p>
    <w:tbl>
      <w:tblPr>
        <w:tblStyle w:val="16"/>
        <w:tblW w:w="79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701"/>
        <w:gridCol w:w="1701"/>
        <w:gridCol w:w="170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noWrap w:val="0"/>
            <w:vAlign w:val="center"/>
          </w:tcPr>
          <w:p>
            <w:pPr>
              <w:spacing w:line="360" w:lineRule="auto"/>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经费批次</w:t>
            </w:r>
          </w:p>
        </w:tc>
        <w:tc>
          <w:tcPr>
            <w:tcW w:w="1701" w:type="dxa"/>
            <w:noWrap w:val="0"/>
            <w:vAlign w:val="center"/>
          </w:tcPr>
          <w:p>
            <w:pPr>
              <w:spacing w:line="360" w:lineRule="auto"/>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第一批启动费</w:t>
            </w:r>
          </w:p>
        </w:tc>
        <w:tc>
          <w:tcPr>
            <w:tcW w:w="1701" w:type="dxa"/>
            <w:noWrap w:val="0"/>
            <w:vAlign w:val="center"/>
          </w:tcPr>
          <w:p>
            <w:pPr>
              <w:spacing w:line="360" w:lineRule="auto"/>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第二批建设费</w:t>
            </w:r>
          </w:p>
        </w:tc>
        <w:tc>
          <w:tcPr>
            <w:tcW w:w="1701" w:type="dxa"/>
            <w:noWrap w:val="0"/>
            <w:vAlign w:val="center"/>
          </w:tcPr>
          <w:p>
            <w:pPr>
              <w:spacing w:line="360" w:lineRule="auto"/>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第三批建设费</w:t>
            </w:r>
          </w:p>
        </w:tc>
        <w:tc>
          <w:tcPr>
            <w:tcW w:w="1560" w:type="dxa"/>
            <w:noWrap w:val="0"/>
            <w:vAlign w:val="center"/>
          </w:tcPr>
          <w:p>
            <w:pPr>
              <w:spacing w:line="360" w:lineRule="auto"/>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第四批经费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noWrap w:val="0"/>
            <w:vAlign w:val="center"/>
          </w:tcPr>
          <w:p>
            <w:pPr>
              <w:spacing w:line="360" w:lineRule="auto"/>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经费比例</w:t>
            </w:r>
          </w:p>
        </w:tc>
        <w:tc>
          <w:tcPr>
            <w:tcW w:w="1701" w:type="dxa"/>
            <w:noWrap w:val="0"/>
            <w:vAlign w:val="center"/>
          </w:tcPr>
          <w:p>
            <w:pPr>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30%</w:t>
            </w:r>
          </w:p>
        </w:tc>
        <w:tc>
          <w:tcPr>
            <w:tcW w:w="1701" w:type="dxa"/>
            <w:noWrap w:val="0"/>
            <w:vAlign w:val="center"/>
          </w:tcPr>
          <w:p>
            <w:pPr>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30%</w:t>
            </w:r>
          </w:p>
        </w:tc>
        <w:tc>
          <w:tcPr>
            <w:tcW w:w="1701" w:type="dxa"/>
            <w:noWrap w:val="0"/>
            <w:vAlign w:val="center"/>
          </w:tcPr>
          <w:p>
            <w:pPr>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25%</w:t>
            </w:r>
          </w:p>
        </w:tc>
        <w:tc>
          <w:tcPr>
            <w:tcW w:w="1560" w:type="dxa"/>
            <w:noWrap w:val="0"/>
            <w:vAlign w:val="center"/>
          </w:tcPr>
          <w:p>
            <w:pPr>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15%</w:t>
            </w:r>
          </w:p>
        </w:tc>
      </w:tr>
    </w:tbl>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（二）重点建设专业专项经费须单独立帐，专款专用。经费开支范围包括：</w:t>
      </w:r>
    </w:p>
    <w:p>
      <w:pPr>
        <w:widowControl w:val="0"/>
        <w:numPr>
          <w:ilvl w:val="1"/>
          <w:numId w:val="26"/>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专业仪器设备购置费，包括本专业内的教学和科研所需的实践教学仪器设备购置和维修等。专业实验（实训）室建设经费由实验教学专项经费列支。</w:t>
      </w:r>
    </w:p>
    <w:p>
      <w:pPr>
        <w:widowControl w:val="0"/>
        <w:numPr>
          <w:ilvl w:val="1"/>
          <w:numId w:val="26"/>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软件建设费，包括专业建设发展规划、课程建设、教材建设、师资队伍建设、教学改革和教学文件建设等。教学改革包括课程与教学内容体二级学院改革、教学方法改革和采用先进的教学手段。</w:t>
      </w:r>
    </w:p>
    <w:p>
      <w:pPr>
        <w:widowControl w:val="0"/>
        <w:numPr>
          <w:ilvl w:val="1"/>
          <w:numId w:val="26"/>
        </w:numPr>
        <w:spacing w:line="360" w:lineRule="auto"/>
        <w:ind w:left="0" w:firstLine="567"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其他建设费用</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参加学术会议的差旅费、会议费、调研费等开支、重点专业建设聘请专家、学者所支付的讲课、咨询及劳务报酬应符合学院财务制度要求。</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（三）重点建设专业的专项经费使用实行专业建设负责人责任制。专业负责人所在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（部）要加强对重点建设专业的进展情况及经费使用情况的监督与指导。</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专业负责人应对经费使用作出年度预算，经</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主任核准后报</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审批；专业负责人按照批准的经费预算使用经费，并做好经费使用记录。每学年由</w:t>
      </w:r>
      <w:r>
        <w:rPr>
          <w:rFonts w:hint="eastAsia" w:ascii="宋体" w:hAnsi="宋体" w:eastAsia="宋体" w:cs="Times New Roman"/>
          <w:color w:val="auto"/>
          <w:sz w:val="24"/>
          <w:szCs w:val="24"/>
          <w:lang w:eastAsia="zh-CN"/>
        </w:rPr>
        <w:t>财务部</w:t>
      </w:r>
      <w:r>
        <w:rPr>
          <w:rFonts w:hint="eastAsia" w:ascii="宋体" w:hAnsi="宋体" w:eastAsia="宋体" w:cs="Times New Roman"/>
          <w:color w:val="auto"/>
          <w:sz w:val="24"/>
          <w:szCs w:val="24"/>
        </w:rPr>
        <w:t>结算一次，结算结果通报有关部门及相关人员。学院每学年检查专业建设的实施进度，若发现未按专业建设规划及学年建设计划实施，则可以根据实际情况缓拨或停拨次年的经费。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重点建设专业在规定建设期限内没使用完的经费由学院统一支配，用于学院专业建设。</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八、重点专业建设的管理验收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（一）重点专业建设项目一旦确定，</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代表学院与该专业负责人所在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签订协议书，以确保专业建设如期进行，完成建设目标。</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（二）重点专业建设费用主要以立项的形式进行专业的市场调研、人才培养模式改造、专业课程群建设、</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双师</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结构教师队伍的培养、教学改革等项目建设。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（三）重点专业建设负责人在每年的</w:t>
      </w:r>
      <w:r>
        <w:rPr>
          <w:rFonts w:ascii="宋体" w:hAnsi="宋体" w:eastAsia="宋体" w:cs="Times New Roman"/>
          <w:color w:val="auto"/>
          <w:sz w:val="24"/>
          <w:szCs w:val="24"/>
        </w:rPr>
        <w:t>10</w:t>
      </w:r>
      <w:r>
        <w:rPr>
          <w:rFonts w:hint="eastAsia" w:ascii="宋体" w:hAnsi="宋体" w:eastAsia="宋体" w:cs="Times New Roman"/>
          <w:color w:val="auto"/>
          <w:sz w:val="24"/>
          <w:szCs w:val="24"/>
        </w:rPr>
        <w:t>月填写《广东江门中医药职业学院重点专业建设年度检查表》，并连同经费本及下年度经费预算表交</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组织人员实地检查建设进展情况，于</w:t>
      </w:r>
      <w:r>
        <w:rPr>
          <w:rFonts w:ascii="宋体" w:hAnsi="宋体" w:eastAsia="宋体" w:cs="Times New Roman"/>
          <w:color w:val="auto"/>
          <w:sz w:val="24"/>
          <w:szCs w:val="24"/>
        </w:rPr>
        <w:t>3</w:t>
      </w:r>
      <w:r>
        <w:rPr>
          <w:rFonts w:hint="eastAsia" w:ascii="宋体" w:hAnsi="宋体" w:eastAsia="宋体" w:cs="Times New Roman"/>
          <w:color w:val="auto"/>
          <w:sz w:val="24"/>
          <w:szCs w:val="24"/>
        </w:rPr>
        <w:t>月上旬反馈检查结果，根据检查结果拨发、缓发或取消第二或第三批建设经费。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（四）重点专业建设的验收以负责人申请、</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自评、专家组评审、院专业建设指导委员会审核、公示审核结果、院长办公会议审定的程序进行。建设任务完成后，重点专业建设负责人填写《广东江门中医药职业学院重点专业建设验收评定表》，附自评报告。</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在收到自评报告的</w:t>
      </w:r>
      <w:r>
        <w:rPr>
          <w:rFonts w:ascii="宋体" w:hAnsi="宋体" w:eastAsia="宋体" w:cs="Times New Roman"/>
          <w:color w:val="auto"/>
          <w:sz w:val="24"/>
          <w:szCs w:val="24"/>
        </w:rPr>
        <w:t>1</w:t>
      </w:r>
      <w:r>
        <w:rPr>
          <w:rFonts w:hint="eastAsia" w:ascii="宋体" w:hAnsi="宋体" w:eastAsia="宋体" w:cs="Times New Roman"/>
          <w:color w:val="auto"/>
          <w:sz w:val="24"/>
          <w:szCs w:val="24"/>
        </w:rPr>
        <w:t>个月内组织专家进行评审。专家根据</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广东江门中医药职业学院重点专业建设评估指标</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进行打分，评分在</w:t>
      </w:r>
      <w:r>
        <w:rPr>
          <w:rFonts w:ascii="宋体" w:hAnsi="宋体" w:eastAsia="宋体" w:cs="Times New Roman"/>
          <w:color w:val="auto"/>
          <w:sz w:val="24"/>
          <w:szCs w:val="24"/>
        </w:rPr>
        <w:t>85</w:t>
      </w:r>
      <w:r>
        <w:rPr>
          <w:rFonts w:hint="eastAsia" w:ascii="宋体" w:hAnsi="宋体" w:eastAsia="宋体" w:cs="Times New Roman"/>
          <w:color w:val="auto"/>
          <w:sz w:val="24"/>
          <w:szCs w:val="24"/>
        </w:rPr>
        <w:t>分及以上，经院专业建设指导委员会审核、院长办公会议审批通过后，确定为重点专业。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（五）被评为重点专业者，发给荣誉证书，重点专业建设评定结果将作为教师晋职、岗位评定及考核的重要依据。原则上每年</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将组织人员对重点专业进行抽查，抽查不合格的取消</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重点专业</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称号。</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（六）对未通过验收重点专业者，</w:t>
      </w:r>
      <w:r>
        <w:rPr>
          <w:rFonts w:ascii="宋体" w:hAnsi="宋体" w:eastAsia="宋体" w:cs="Times New Roman"/>
          <w:color w:val="auto"/>
          <w:sz w:val="24"/>
          <w:szCs w:val="24"/>
        </w:rPr>
        <w:t>1</w:t>
      </w:r>
      <w:r>
        <w:rPr>
          <w:rFonts w:hint="eastAsia" w:ascii="宋体" w:hAnsi="宋体" w:eastAsia="宋体" w:cs="Times New Roman"/>
          <w:color w:val="auto"/>
          <w:sz w:val="24"/>
          <w:szCs w:val="24"/>
        </w:rPr>
        <w:t>年内可申请再次验收</w:t>
      </w:r>
      <w:r>
        <w:rPr>
          <w:rFonts w:ascii="宋体" w:hAnsi="宋体" w:eastAsia="宋体" w:cs="Times New Roman"/>
          <w:color w:val="auto"/>
          <w:sz w:val="24"/>
          <w:szCs w:val="24"/>
        </w:rPr>
        <w:t>1</w:t>
      </w:r>
      <w:r>
        <w:rPr>
          <w:rFonts w:hint="eastAsia" w:ascii="宋体" w:hAnsi="宋体" w:eastAsia="宋体" w:cs="Times New Roman"/>
          <w:color w:val="auto"/>
          <w:sz w:val="24"/>
          <w:szCs w:val="24"/>
        </w:rPr>
        <w:t>次，仍达不到重点专业标准，视作未通过验收。未按时完成建设者，经申请原则上最多可延长</w:t>
      </w:r>
      <w:r>
        <w:rPr>
          <w:rFonts w:ascii="宋体" w:hAnsi="宋体" w:eastAsia="宋体" w:cs="Times New Roman"/>
          <w:color w:val="auto"/>
          <w:sz w:val="24"/>
          <w:szCs w:val="24"/>
        </w:rPr>
        <w:t>1</w:t>
      </w:r>
      <w:r>
        <w:rPr>
          <w:rFonts w:hint="eastAsia" w:ascii="宋体" w:hAnsi="宋体" w:eastAsia="宋体" w:cs="Times New Roman"/>
          <w:color w:val="auto"/>
          <w:sz w:val="24"/>
          <w:szCs w:val="24"/>
        </w:rPr>
        <w:t>年，延长期内仍不申请验收，按未通过验收处理。未通过验收者，所在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不得申报下一年度重点专业建设项目，负责人连续</w:t>
      </w:r>
      <w:r>
        <w:rPr>
          <w:rFonts w:ascii="宋体" w:hAnsi="宋体" w:eastAsia="宋体" w:cs="Times New Roman"/>
          <w:color w:val="auto"/>
          <w:sz w:val="24"/>
          <w:szCs w:val="24"/>
        </w:rPr>
        <w:t>2</w:t>
      </w:r>
      <w:r>
        <w:rPr>
          <w:rFonts w:hint="eastAsia" w:ascii="宋体" w:hAnsi="宋体" w:eastAsia="宋体" w:cs="Times New Roman"/>
          <w:color w:val="auto"/>
          <w:sz w:val="24"/>
          <w:szCs w:val="24"/>
        </w:rPr>
        <w:t>年不得申报重点专业建设、一类课程建设、教材基金建设项目。</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26" w:name="_Toc16986"/>
      <w:r>
        <w:rPr>
          <w:rFonts w:hint="eastAsia"/>
          <w:color w:val="auto"/>
        </w:rPr>
        <w:t>专业建设指导委员会工作制度</w:t>
      </w:r>
      <w:bookmarkEnd w:id="26"/>
    </w:p>
    <w:p>
      <w:pPr>
        <w:spacing w:line="360" w:lineRule="auto"/>
        <w:ind w:firstLine="482" w:firstLineChars="200"/>
        <w:rPr>
          <w:rFonts w:ascii="宋体" w:hAnsi="Calibri" w:eastAsia="宋体" w:cs="Times New Roman"/>
          <w:b/>
          <w:color w:val="auto"/>
          <w:sz w:val="24"/>
          <w:szCs w:val="24"/>
        </w:rPr>
      </w:pP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一、总则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为了进一步贯彻落实教育部关于为生产、建设、服务和管理第一线培养高技能人才的精神，加强学院与社会、教学与生产、教学与科研的紧密结合，更好地促进学院专业建设和教学改革，特制定本制度以指导、规范学院专业建设指导委员会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（二）专业建设指导委员会协助学院构建以能力为本位的理论与实践教学体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，体现我院的办学特色，更好地为社会输送合格的高技能人才，提高就业率。</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（三）专业建设指导委员会要贯彻落实党的教育方针政策，解放思想，实事求事，以专业建设为中心，根据</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以服务为宗旨，以就业为导向，走产学结合的发展道路</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的办学思想，认真探讨新时期高职教育中出现的新情况、新问题，指导专业建设，促进专业改革。</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二、组织机构</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（一）学院设专业建设指导委员会领导小组，设组长</w:t>
      </w:r>
      <w:r>
        <w:rPr>
          <w:rFonts w:ascii="宋体" w:hAnsi="宋体" w:eastAsia="宋体" w:cs="Times New Roman"/>
          <w:color w:val="auto"/>
          <w:sz w:val="24"/>
          <w:szCs w:val="24"/>
        </w:rPr>
        <w:t>1</w:t>
      </w:r>
      <w:r>
        <w:rPr>
          <w:rFonts w:hint="eastAsia" w:ascii="宋体" w:hAnsi="宋体" w:eastAsia="宋体" w:cs="Times New Roman"/>
          <w:color w:val="auto"/>
          <w:sz w:val="24"/>
          <w:szCs w:val="24"/>
        </w:rPr>
        <w:t>名，由院长担任；设副组长</w:t>
      </w:r>
      <w:r>
        <w:rPr>
          <w:rFonts w:ascii="宋体" w:hAnsi="宋体" w:eastAsia="宋体" w:cs="Times New Roman"/>
          <w:color w:val="auto"/>
          <w:sz w:val="24"/>
          <w:szCs w:val="24"/>
        </w:rPr>
        <w:t>2</w:t>
      </w:r>
      <w:r>
        <w:rPr>
          <w:rFonts w:hint="eastAsia" w:ascii="宋体" w:hAnsi="宋体" w:eastAsia="宋体" w:cs="Times New Roman"/>
          <w:color w:val="auto"/>
          <w:sz w:val="24"/>
          <w:szCs w:val="24"/>
        </w:rPr>
        <w:t>名，由主管院长和</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长担任；设秘书长</w:t>
      </w:r>
      <w:r>
        <w:rPr>
          <w:rFonts w:ascii="宋体" w:hAnsi="宋体" w:eastAsia="宋体" w:cs="Times New Roman"/>
          <w:color w:val="auto"/>
          <w:sz w:val="24"/>
          <w:szCs w:val="24"/>
        </w:rPr>
        <w:t>1</w:t>
      </w:r>
      <w:r>
        <w:rPr>
          <w:rFonts w:hint="eastAsia" w:ascii="宋体" w:hAnsi="宋体" w:eastAsia="宋体" w:cs="Times New Roman"/>
          <w:color w:val="auto"/>
          <w:sz w:val="24"/>
          <w:szCs w:val="24"/>
        </w:rPr>
        <w:t>名。秘书长负责委员会日常事务工作，并根据组长的要求，联络和组织各专业委员会召开工作会议。各专业建设指导委员会设主任委员</w:t>
      </w:r>
      <w:r>
        <w:rPr>
          <w:rFonts w:ascii="宋体" w:hAnsi="宋体" w:eastAsia="宋体" w:cs="Times New Roman"/>
          <w:color w:val="auto"/>
          <w:sz w:val="24"/>
          <w:szCs w:val="24"/>
        </w:rPr>
        <w:t>1</w:t>
      </w:r>
      <w:r>
        <w:rPr>
          <w:rFonts w:hint="eastAsia" w:ascii="宋体" w:hAnsi="宋体" w:eastAsia="宋体" w:cs="Times New Roman"/>
          <w:color w:val="auto"/>
          <w:sz w:val="24"/>
          <w:szCs w:val="24"/>
        </w:rPr>
        <w:t>名、副主委员</w:t>
      </w:r>
      <w:r>
        <w:rPr>
          <w:rFonts w:ascii="宋体" w:hAnsi="宋体" w:eastAsia="宋体" w:cs="Times New Roman"/>
          <w:color w:val="auto"/>
          <w:sz w:val="24"/>
          <w:szCs w:val="24"/>
        </w:rPr>
        <w:t>1</w:t>
      </w:r>
      <w:r>
        <w:rPr>
          <w:rFonts w:hint="eastAsia" w:ascii="宋体" w:hAnsi="宋体" w:eastAsia="宋体" w:cs="Times New Roman"/>
          <w:color w:val="auto"/>
          <w:sz w:val="24"/>
          <w:szCs w:val="24"/>
        </w:rPr>
        <w:t>名、秘书</w:t>
      </w:r>
      <w:r>
        <w:rPr>
          <w:rFonts w:ascii="宋体" w:hAnsi="宋体" w:eastAsia="宋体" w:cs="Times New Roman"/>
          <w:color w:val="auto"/>
          <w:sz w:val="24"/>
          <w:szCs w:val="24"/>
        </w:rPr>
        <w:t>1</w:t>
      </w:r>
      <w:r>
        <w:rPr>
          <w:rFonts w:hint="eastAsia" w:ascii="宋体" w:hAnsi="宋体" w:eastAsia="宋体" w:cs="Times New Roman"/>
          <w:color w:val="auto"/>
          <w:sz w:val="24"/>
          <w:szCs w:val="24"/>
        </w:rPr>
        <w:t>名。</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（二）专业建设指导委员会委员由社会相关行业的领导、专家、学者以及学院有关领导和专业教师等人员组成，经</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审核，主管院长审批，由院长颁发聘书。委员每届任期三年，可连聘、连任或中途解聘。</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（三）专业建设指导委员会以教育部设置的专业为依据，根据学院开设的专业分别设立。各专业建设指导委员会在学院或</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统筹下进行相关活动。</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三、工作职责</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（一）专业建设指导委员会为学院的专业建设提出人才培养规格、培养目标、培养模式和专业课程设置的建议、意见与发展规划。</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（二）专业建设指导委员会负责新设置专业的论证，协助新专业教学计划的修订、课程设置等工作。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（三）专业建设指导委员会定期为相关专业制订、审核和修改专业教学计划、编制专业主干课程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和实践课</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、调整课程结构等提供指导性意见和建议。</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（四）专业建设指导委员会指导、协助校内外实验（实训）基地建设，积极提供校外实习场所。</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（五）专业建设指导委员会积极推荐兼职教授、副教授到学院讲课，积极开展本专业的新知识或科技信息方面的讲座。</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（六）专业建设指导委员会指导、协调产教融合、校企合作。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（七）专业建设指导委员会对本专业的教学工作进行研究、咨询、指导，对教学质量进行评估、检查和监督。</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四、工作制度</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（一）专业建设指导委员会工作计划在主任委员主持下，由全体委员讨论制定，由各专业委员执行实施。</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（二）专业建设指导委员会每年召开</w:t>
      </w:r>
      <w:r>
        <w:rPr>
          <w:rFonts w:ascii="宋体" w:hAnsi="宋体" w:eastAsia="宋体" w:cs="Times New Roman"/>
          <w:color w:val="auto"/>
          <w:sz w:val="24"/>
          <w:szCs w:val="24"/>
        </w:rPr>
        <w:t>2</w:t>
      </w:r>
      <w:r>
        <w:rPr>
          <w:rFonts w:hint="eastAsia" w:ascii="宋体" w:hAnsi="宋体" w:eastAsia="宋体" w:cs="Times New Roman"/>
          <w:color w:val="auto"/>
          <w:sz w:val="24"/>
          <w:szCs w:val="24"/>
        </w:rPr>
        <w:t>～</w:t>
      </w:r>
      <w:r>
        <w:rPr>
          <w:rFonts w:ascii="宋体" w:hAnsi="宋体" w:eastAsia="宋体" w:cs="Times New Roman"/>
          <w:color w:val="auto"/>
          <w:sz w:val="24"/>
          <w:szCs w:val="24"/>
        </w:rPr>
        <w:t xml:space="preserve">3 </w:t>
      </w:r>
      <w:r>
        <w:rPr>
          <w:rFonts w:hint="eastAsia" w:ascii="宋体" w:hAnsi="宋体" w:eastAsia="宋体" w:cs="Times New Roman"/>
          <w:color w:val="auto"/>
          <w:sz w:val="24"/>
          <w:szCs w:val="24"/>
        </w:rPr>
        <w:t>次全体委员会议，会议由秘书长负责组织，校领导主持。</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（三）各专业建设指导委员会会议、讨论等由主任委员主持，主任委员因故不能主持时，可委托副主任委员主持。根据工作需要，可适当扩大参加会议的人员范围和增加会议的次数。</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（四）各委员原则上必须参加会议，因故不能出席会议的需事先向主任委员请假，并派代表出席会议。</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（五）专业建设指导委员会建立委员间定期联</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制度，互通信息，加强沟通，提高工作效率。</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五、附则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本管理细则的解释权属学院专业建设指导委员会领导小组。</w:t>
      </w:r>
    </w:p>
    <w:p>
      <w:pPr>
        <w:pStyle w:val="12"/>
        <w:spacing w:line="360" w:lineRule="auto"/>
        <w:rPr>
          <w:rFonts w:ascii="宋体" w:hAnsi="宋体" w:eastAsia="宋体" w:cs="Times New Roman"/>
          <w:color w:val="auto"/>
          <w:sz w:val="30"/>
          <w:szCs w:val="30"/>
        </w:rPr>
      </w:pPr>
      <w:r>
        <w:rPr>
          <w:rFonts w:ascii="宋体" w:eastAsia="宋体" w:cs="Times New Roman"/>
          <w:color w:val="auto"/>
          <w:sz w:val="24"/>
          <w:szCs w:val="24"/>
        </w:rPr>
        <w:br w:type="page"/>
      </w:r>
      <w:bookmarkStart w:id="27" w:name="_Toc30952"/>
      <w:r>
        <w:rPr>
          <w:rStyle w:val="36"/>
          <w:rFonts w:hint="eastAsia"/>
          <w:b/>
          <w:color w:val="auto"/>
        </w:rPr>
        <w:t>人才培养方案制（修）订与实施办法</w:t>
      </w:r>
      <w:bookmarkEnd w:id="27"/>
    </w:p>
    <w:p>
      <w:pPr>
        <w:spacing w:line="360" w:lineRule="auto"/>
        <w:ind w:firstLine="560" w:firstLineChars="200"/>
        <w:rPr>
          <w:rFonts w:ascii="宋体" w:hAnsi="宋体" w:eastAsia="宋体" w:cs="Times New Roman"/>
          <w:color w:val="auto"/>
          <w:sz w:val="28"/>
          <w:szCs w:val="28"/>
        </w:rPr>
      </w:pPr>
    </w:p>
    <w:p>
      <w:pPr>
        <w:overflowPunct w:val="0"/>
        <w:adjustRightInd w:val="0"/>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制订教学标准，</w:t>
      </w:r>
      <w:r>
        <w:rPr>
          <w:rFonts w:hint="eastAsia" w:ascii="宋体" w:hAnsi="宋体" w:eastAsia="宋体" w:cs="Times New Roman"/>
          <w:color w:val="auto"/>
          <w:sz w:val="24"/>
          <w:szCs w:val="24"/>
        </w:rPr>
        <w:t>结合自身办学定位和</w:t>
      </w:r>
      <w:r>
        <w:rPr>
          <w:rFonts w:ascii="宋体" w:hAnsi="宋体" w:eastAsia="宋体" w:cs="Times New Roman"/>
          <w:color w:val="auto"/>
          <w:sz w:val="24"/>
          <w:szCs w:val="24"/>
        </w:rPr>
        <w:t>实际</w:t>
      </w:r>
      <w:r>
        <w:rPr>
          <w:rFonts w:hint="eastAsia" w:ascii="宋体" w:hAnsi="宋体" w:eastAsia="宋体" w:cs="Times New Roman"/>
          <w:color w:val="auto"/>
          <w:sz w:val="24"/>
          <w:szCs w:val="24"/>
        </w:rPr>
        <w:t>需求</w:t>
      </w:r>
      <w:r>
        <w:rPr>
          <w:rFonts w:ascii="宋体" w:hAnsi="宋体" w:eastAsia="宋体" w:cs="Times New Roman"/>
          <w:color w:val="auto"/>
          <w:sz w:val="24"/>
          <w:szCs w:val="24"/>
        </w:rPr>
        <w:t>，对</w:t>
      </w:r>
      <w:r>
        <w:rPr>
          <w:rFonts w:hint="eastAsia" w:ascii="宋体" w:hAnsi="宋体" w:eastAsia="宋体" w:cs="Times New Roman"/>
          <w:color w:val="auto"/>
          <w:sz w:val="24"/>
          <w:szCs w:val="24"/>
        </w:rPr>
        <w:t>专业</w:t>
      </w:r>
      <w:r>
        <w:rPr>
          <w:rFonts w:ascii="宋体" w:hAnsi="宋体" w:eastAsia="宋体" w:cs="Times New Roman"/>
          <w:color w:val="auto"/>
          <w:sz w:val="24"/>
          <w:szCs w:val="24"/>
        </w:rPr>
        <w:t>人才培养</w:t>
      </w:r>
      <w:r>
        <w:rPr>
          <w:rFonts w:hint="eastAsia" w:ascii="宋体" w:hAnsi="宋体" w:eastAsia="宋体" w:cs="Times New Roman"/>
          <w:color w:val="auto"/>
          <w:sz w:val="24"/>
          <w:szCs w:val="24"/>
        </w:rPr>
        <w:t>要求和过程的总体</w:t>
      </w:r>
      <w:r>
        <w:rPr>
          <w:rFonts w:ascii="宋体" w:hAnsi="宋体" w:eastAsia="宋体" w:cs="Times New Roman"/>
          <w:color w:val="auto"/>
          <w:sz w:val="24"/>
          <w:szCs w:val="24"/>
        </w:rPr>
        <w:t>设计，是实施人才培养</w:t>
      </w:r>
      <w:r>
        <w:rPr>
          <w:rFonts w:hint="eastAsia" w:ascii="宋体" w:hAnsi="宋体" w:eastAsia="宋体" w:cs="Times New Roman"/>
          <w:color w:val="auto"/>
          <w:sz w:val="24"/>
          <w:szCs w:val="24"/>
        </w:rPr>
        <w:t>和质量评价的基本依据</w:t>
      </w:r>
      <w:r>
        <w:rPr>
          <w:rFonts w:ascii="宋体" w:hAnsi="宋体" w:eastAsia="宋体" w:cs="Times New Roman"/>
          <w:color w:val="auto"/>
          <w:sz w:val="24"/>
          <w:szCs w:val="24"/>
        </w:rPr>
        <w:t>。</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为贯彻</w:t>
      </w:r>
      <w:r>
        <w:rPr>
          <w:rFonts w:hint="eastAsia" w:ascii="宋体" w:hAnsi="宋体" w:eastAsia="宋体" w:cs="Times New Roman"/>
          <w:color w:val="auto"/>
          <w:sz w:val="24"/>
          <w:szCs w:val="24"/>
        </w:rPr>
        <w:t>党的十九大精神，</w:t>
      </w:r>
      <w:r>
        <w:rPr>
          <w:rFonts w:ascii="宋体" w:hAnsi="宋体" w:eastAsia="宋体" w:cs="Times New Roman"/>
          <w:color w:val="auto"/>
          <w:sz w:val="24"/>
          <w:szCs w:val="24"/>
        </w:rPr>
        <w:t>落实</w:t>
      </w:r>
      <w:r>
        <w:rPr>
          <w:rFonts w:hint="eastAsia" w:ascii="宋体" w:hAnsi="宋体" w:eastAsia="宋体" w:cs="Times New Roman"/>
          <w:color w:val="auto"/>
          <w:sz w:val="24"/>
          <w:szCs w:val="24"/>
        </w:rPr>
        <w:t>《中共中央办公厅 国务院办公厅关于深化教育体制机制改革的意见》和</w:t>
      </w:r>
      <w:r>
        <w:rPr>
          <w:rFonts w:ascii="宋体" w:hAnsi="宋体" w:eastAsia="宋体" w:cs="Times New Roman"/>
          <w:color w:val="auto"/>
          <w:sz w:val="24"/>
          <w:szCs w:val="24"/>
        </w:rPr>
        <w:t>《国务院关于加快发展现代职业教育的决定》，</w:t>
      </w:r>
      <w:r>
        <w:rPr>
          <w:rFonts w:hint="eastAsia" w:ascii="宋体" w:hAnsi="宋体" w:eastAsia="宋体" w:cs="Times New Roman"/>
          <w:color w:val="auto"/>
          <w:sz w:val="24"/>
          <w:szCs w:val="24"/>
        </w:rPr>
        <w:t>进一步</w:t>
      </w:r>
      <w:r>
        <w:rPr>
          <w:rFonts w:ascii="宋体" w:hAnsi="宋体" w:eastAsia="宋体" w:cs="Times New Roman"/>
          <w:color w:val="auto"/>
          <w:sz w:val="24"/>
          <w:szCs w:val="24"/>
        </w:rPr>
        <w:t>规范</w:t>
      </w:r>
      <w:r>
        <w:rPr>
          <w:rFonts w:hint="eastAsia" w:ascii="宋体" w:hAnsi="宋体" w:eastAsia="宋体" w:cs="Times New Roman"/>
          <w:color w:val="auto"/>
          <w:sz w:val="24"/>
          <w:szCs w:val="24"/>
        </w:rPr>
        <w:t>职业教育</w:t>
      </w:r>
      <w:r>
        <w:rPr>
          <w:rFonts w:ascii="宋体" w:hAnsi="宋体" w:eastAsia="宋体" w:cs="Times New Roman"/>
          <w:color w:val="auto"/>
          <w:sz w:val="24"/>
          <w:szCs w:val="24"/>
        </w:rPr>
        <w:t>教学管理，</w:t>
      </w:r>
      <w:r>
        <w:rPr>
          <w:rFonts w:hint="eastAsia" w:ascii="宋体" w:hAnsi="宋体" w:eastAsia="宋体" w:cs="Times New Roman"/>
          <w:color w:val="auto"/>
          <w:sz w:val="24"/>
          <w:szCs w:val="24"/>
        </w:rPr>
        <w:t>创新育人体制机制，提高人才培养质量，结合我院实际，特制订本管理办法。</w:t>
      </w:r>
    </w:p>
    <w:p>
      <w:pPr>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一、制定（修订）人才培养方案的原则</w:t>
      </w:r>
    </w:p>
    <w:p>
      <w:pPr>
        <w:overflowPunct w:val="0"/>
        <w:adjustRightInd w:val="0"/>
        <w:spacing w:line="360" w:lineRule="auto"/>
        <w:ind w:firstLine="482" w:firstLineChars="200"/>
        <w:rPr>
          <w:rFonts w:ascii="宋体" w:hAnsi="宋体" w:eastAsia="宋体" w:cs="Times New Roman"/>
          <w:color w:val="auto"/>
          <w:sz w:val="24"/>
          <w:szCs w:val="24"/>
        </w:rPr>
      </w:pPr>
      <w:r>
        <w:rPr>
          <w:rFonts w:hint="eastAsia" w:ascii="宋体" w:hAnsi="宋体" w:eastAsia="宋体" w:cs="Times New Roman"/>
          <w:b/>
          <w:color w:val="auto"/>
          <w:sz w:val="24"/>
          <w:szCs w:val="24"/>
        </w:rPr>
        <w:t>（一）坚持育人为本，促进德技并修。</w:t>
      </w:r>
      <w:r>
        <w:rPr>
          <w:rFonts w:hint="eastAsia" w:ascii="宋体" w:hAnsi="宋体" w:eastAsia="宋体" w:cs="Times New Roman"/>
          <w:color w:val="auto"/>
          <w:sz w:val="24"/>
          <w:szCs w:val="24"/>
        </w:rPr>
        <w:t>应体现以学生为中心，遵循职业教育规律和学生身心发展规律，落实立德树人根本任务，坚持将思想政治教育、职业道德和工匠精神培育融入教育教学全过程，处理好公共基础课程教学与专业课程教学、理论与实践的</w:t>
      </w:r>
      <w:r>
        <w:rPr>
          <w:rFonts w:hint="eastAsia" w:ascii="宋体" w:hAnsi="宋体" w:eastAsia="宋体" w:cs="Times New Roman"/>
          <w:color w:val="auto"/>
          <w:sz w:val="24"/>
          <w:szCs w:val="24"/>
          <w:lang w:eastAsia="zh-CN"/>
        </w:rPr>
        <w:t>关系</w:t>
      </w:r>
      <w:r>
        <w:rPr>
          <w:rFonts w:hint="eastAsia" w:ascii="宋体" w:hAnsi="宋体" w:eastAsia="宋体" w:cs="Times New Roman"/>
          <w:color w:val="auto"/>
          <w:sz w:val="24"/>
          <w:szCs w:val="24"/>
        </w:rPr>
        <w:t>，注重实践教学，促进学生德技并修、全面发展。</w:t>
      </w:r>
    </w:p>
    <w:p>
      <w:pPr>
        <w:overflowPunct w:val="0"/>
        <w:adjustRightInd w:val="0"/>
        <w:spacing w:line="360" w:lineRule="auto"/>
        <w:ind w:firstLine="482" w:firstLineChars="200"/>
        <w:rPr>
          <w:rFonts w:ascii="宋体" w:hAnsi="宋体" w:eastAsia="宋体" w:cs="Times New Roman"/>
          <w:color w:val="auto"/>
          <w:sz w:val="24"/>
          <w:szCs w:val="24"/>
        </w:rPr>
      </w:pPr>
      <w:r>
        <w:rPr>
          <w:rFonts w:hint="eastAsia" w:ascii="宋体" w:hAnsi="宋体" w:eastAsia="宋体" w:cs="Times New Roman"/>
          <w:b/>
          <w:color w:val="auto"/>
          <w:sz w:val="24"/>
          <w:szCs w:val="24"/>
        </w:rPr>
        <w:t>（二）坚持标准引领，促进特色发展。</w:t>
      </w:r>
      <w:r>
        <w:rPr>
          <w:rFonts w:hint="eastAsia" w:ascii="宋体" w:hAnsi="宋体" w:eastAsia="宋体" w:cs="Times New Roman"/>
          <w:color w:val="auto"/>
          <w:sz w:val="24"/>
          <w:szCs w:val="24"/>
        </w:rPr>
        <w:t>以职业教育国家教学标准为基本遵循，主要包括专业目录、专业教学标准、公共基础必修课课程标准、顶岗实习标准、实训教学条件建设标准（仪器设备配备规范）等，贯彻落实党和国家在有关课程设置、教育教学内容等方面的要求，对接有关职业标准，服务地方和行业发展需求，鼓励高于标准、体现特色。</w:t>
      </w:r>
    </w:p>
    <w:p>
      <w:pPr>
        <w:overflowPunct w:val="0"/>
        <w:adjustRightInd w:val="0"/>
        <w:spacing w:line="360" w:lineRule="auto"/>
        <w:ind w:firstLine="482" w:firstLineChars="200"/>
        <w:rPr>
          <w:rFonts w:ascii="宋体" w:hAnsi="宋体" w:eastAsia="宋体" w:cs="Times New Roman"/>
          <w:color w:val="auto"/>
          <w:sz w:val="24"/>
          <w:szCs w:val="24"/>
        </w:rPr>
      </w:pPr>
      <w:r>
        <w:rPr>
          <w:rFonts w:hint="eastAsia" w:ascii="宋体" w:hAnsi="宋体" w:eastAsia="宋体" w:cs="Times New Roman"/>
          <w:b/>
          <w:color w:val="auto"/>
          <w:sz w:val="24"/>
          <w:szCs w:val="24"/>
        </w:rPr>
        <w:t>（三）坚持多方参与，促进产教融合。</w:t>
      </w:r>
      <w:r>
        <w:rPr>
          <w:rFonts w:hint="eastAsia" w:ascii="宋体" w:hAnsi="宋体" w:eastAsia="宋体" w:cs="Times New Roman"/>
          <w:color w:val="auto"/>
          <w:sz w:val="24"/>
          <w:szCs w:val="24"/>
        </w:rPr>
        <w:t>工作规划设计、方案研究起草、论证审定等各环节要注重充分发挥行业企业作用，要充分考虑学校师生意见，广泛听取各方意见建议，避免闭门造车、照搬照用；方案整体设计应体现人才培养模式改革的新要求，将产教融合、校企合作落实到人才培养过程中，课程教学内容及时反映新知识、新技术、新工艺、新规范。</w:t>
      </w:r>
    </w:p>
    <w:p>
      <w:pPr>
        <w:overflowPunct w:val="0"/>
        <w:adjustRightInd w:val="0"/>
        <w:spacing w:line="360" w:lineRule="auto"/>
        <w:ind w:firstLine="482" w:firstLineChars="200"/>
        <w:rPr>
          <w:rFonts w:ascii="宋体" w:hAnsi="宋体" w:eastAsia="宋体" w:cs="Times New Roman"/>
          <w:color w:val="auto"/>
          <w:sz w:val="24"/>
          <w:szCs w:val="24"/>
        </w:rPr>
      </w:pPr>
      <w:r>
        <w:rPr>
          <w:rFonts w:hint="eastAsia" w:ascii="宋体" w:hAnsi="宋体" w:eastAsia="宋体" w:cs="Times New Roman"/>
          <w:b/>
          <w:color w:val="auto"/>
          <w:sz w:val="24"/>
          <w:szCs w:val="24"/>
        </w:rPr>
        <w:t>（四）坚持科学规范，促进开放共享。</w:t>
      </w:r>
      <w:r>
        <w:rPr>
          <w:rFonts w:hint="eastAsia" w:ascii="宋体" w:hAnsi="宋体" w:eastAsia="宋体" w:cs="Times New Roman"/>
          <w:color w:val="auto"/>
          <w:sz w:val="24"/>
          <w:szCs w:val="24"/>
        </w:rPr>
        <w:t>方案制订流程规范，内容科学合理，适当兼顾前瞻性，文字表述严谨，体现专业人才培养方案作为学校教学基本文件的严肃性，具有可操作性；借鉴国际、国内先进经验，注重提炼打造职业教育教学领域的中国方案，体现中国特色、国际水平，在国际交流合作中促进专业人才培养方案的共建共享。</w:t>
      </w:r>
    </w:p>
    <w:p>
      <w:pPr>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二、制订（修订）人才培养方案的基本程序</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（一）制订人才培养方案的工作由</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主任负责组织，专业带头人、教研室主任和骨干教师组成研究和起草小组负责具体工作。起草人才培养方案，要求包括九个方面的主要内容，请参照《广东江门中医药职业学院专业人才培养方案案例框架和基本要求》执行。制（修）订的专业人才培养方案，要准备定位专业人才培养目标与培养规格，合理构建课程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、安排教学进程，明确教学内容、教学方法、教学资源、教学条件保障等要求。</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（二）在进行广泛专业调查的基础上，确定专业培养目标和基本要求。对培养目标和基本要求的描述应逐字逐句，认真推敲酌定，对培养目标的内涵和基本要求应有深入的理解和统一的认识。</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（三）优化课程体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的总体设计。专业负责人组织，专业带头人、教研室主任和骨干教师参与，结合学院自身特点，积极与企业合作开发课程，对职业能力进行层层细化分解，制订出符合现代职业教育思想，可操作性强的课程体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与实施进度计划。</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（四）专业建设指导委员会组织有行业企业、教研机构、本院及有关院校师生代表等参加的论证会，论证审议专业人才培养方案。</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（五）经专家论证、学院教学工作委员会审定通过的专业人才培养方案，学院按程序发布，报上级教育行政部门备案，并通过学校网站等主动向社会公开，接受行业企业、教师、学生、家长及全社会监督。</w:t>
      </w:r>
    </w:p>
    <w:p>
      <w:pPr>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三、人才培养方案的执行和修订</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一）人才培养方案执行情况的检查人才培养方案是学院具有法规性质的基本教学文件，必须严肃认真地执行，不得随意更改变动。为维护人才培养方案的严肃性，学院要组织对人才培养方案的执行情况进行检查，检查方式有：</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学期初、期中、期末教学检查时，将人才培养方案执行情况列入检查内容。</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负责人才培养方案执行情况的经常性检查工作，发现问题及时汇报、协调解决，保证人才培养方案顺利进行。</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毕业前对人才培养方案执行情况进行全面检查，检查培养目标和基本规格是否实现。</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（二）人才培养方案执行的适度弹性</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人才培养方案必须局部变更时，应履行正式呈报审批手续，由专业负责人提出变更申请，</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提出意见，</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审查，分管院长批准方可变更。</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（三）人才培养方案的修订</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为保证完整地实现培养目标要求，稳定学院教学秩序，一般人才培养方案的修订不宜在一个学制周期的中途进行。决定人才培养方案修订的因素有：</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．学院教学改革采取重大措施；</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．专业服务方向的变化，培养目标及基本规格发生变化。</w:t>
      </w:r>
    </w:p>
    <w:p>
      <w:pPr>
        <w:spacing w:line="360" w:lineRule="auto"/>
        <w:ind w:firstLine="480" w:firstLineChars="200"/>
        <w:rPr>
          <w:rFonts w:ascii="宋体" w:hAnsi="宋体" w:eastAsia="宋体" w:cs="Times New Roman"/>
          <w:color w:val="auto"/>
          <w:sz w:val="24"/>
          <w:szCs w:val="24"/>
        </w:rPr>
      </w:pPr>
    </w:p>
    <w:p>
      <w:pPr>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附件：广东江门中医药职业学院专业人才培养方案的主要内容</w:t>
      </w:r>
    </w:p>
    <w:p>
      <w:pPr>
        <w:widowControl/>
        <w:spacing w:line="360" w:lineRule="auto"/>
        <w:jc w:val="left"/>
        <w:rPr>
          <w:rFonts w:ascii="宋体" w:hAnsi="宋体" w:eastAsia="宋体" w:cs="Times New Roman"/>
          <w:b/>
          <w:color w:val="auto"/>
          <w:sz w:val="24"/>
          <w:szCs w:val="24"/>
        </w:rPr>
      </w:pPr>
      <w:r>
        <w:rPr>
          <w:rFonts w:ascii="宋体" w:hAnsi="宋体" w:eastAsia="宋体" w:cs="Times New Roman"/>
          <w:b/>
          <w:color w:val="auto"/>
          <w:sz w:val="24"/>
          <w:szCs w:val="24"/>
        </w:rPr>
        <w:br w:type="page"/>
      </w:r>
    </w:p>
    <w:p>
      <w:pPr>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附：广东江门中医药职业学院专业人才培养方案的主要内容</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专业名称及代码</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专业名称和专业代码</w:t>
      </w:r>
      <w:r>
        <w:rPr>
          <w:rFonts w:ascii="宋体" w:hAnsi="宋体" w:eastAsia="宋体" w:cs="Times New Roman"/>
          <w:color w:val="auto"/>
          <w:sz w:val="24"/>
          <w:szCs w:val="24"/>
        </w:rPr>
        <w:t>根据教育部颁布的</w:t>
      </w:r>
      <w:r>
        <w:rPr>
          <w:rFonts w:hint="eastAsia" w:ascii="宋体" w:hAnsi="宋体" w:eastAsia="宋体" w:cs="Times New Roman"/>
          <w:color w:val="auto"/>
          <w:sz w:val="24"/>
          <w:szCs w:val="24"/>
        </w:rPr>
        <w:t>现行</w:t>
      </w:r>
      <w:r>
        <w:rPr>
          <w:rFonts w:ascii="宋体" w:hAnsi="宋体" w:eastAsia="宋体" w:cs="Times New Roman"/>
          <w:color w:val="auto"/>
          <w:sz w:val="24"/>
          <w:szCs w:val="24"/>
        </w:rPr>
        <w:t>高职专业目录和专业设置管理办法确定。</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入学要求</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高等职业学校学历教育入学要求一般为高中阶段教育毕业生或具有同等学力者。</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修业年限</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高等职业学校学历教育修业年限以3年为主。</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职业面向</w:t>
      </w:r>
    </w:p>
    <w:tbl>
      <w:tblPr>
        <w:tblStyle w:val="16"/>
        <w:tblpPr w:leftFromText="180" w:rightFromText="180" w:vertAnchor="text" w:horzAnchor="margin" w:tblpXSpec="center" w:tblpY="6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0"/>
        <w:gridCol w:w="1133"/>
        <w:gridCol w:w="1133"/>
        <w:gridCol w:w="1133"/>
        <w:gridCol w:w="1841"/>
        <w:gridCol w:w="21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trPr>
        <w:tc>
          <w:tcPr>
            <w:tcW w:w="1100" w:type="dxa"/>
            <w:noWrap w:val="0"/>
            <w:vAlign w:val="center"/>
          </w:tcPr>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所属专业大类（代码）</w:t>
            </w:r>
          </w:p>
        </w:tc>
        <w:tc>
          <w:tcPr>
            <w:tcW w:w="1133" w:type="dxa"/>
            <w:noWrap w:val="0"/>
            <w:vAlign w:val="center"/>
          </w:tcPr>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所属专业类</w:t>
            </w:r>
          </w:p>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（代码）</w:t>
            </w:r>
          </w:p>
        </w:tc>
        <w:tc>
          <w:tcPr>
            <w:tcW w:w="1133" w:type="dxa"/>
            <w:noWrap w:val="0"/>
            <w:vAlign w:val="center"/>
          </w:tcPr>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对应</w:t>
            </w:r>
          </w:p>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行业</w:t>
            </w:r>
          </w:p>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（代码）</w:t>
            </w:r>
          </w:p>
        </w:tc>
        <w:tc>
          <w:tcPr>
            <w:tcW w:w="1133" w:type="dxa"/>
            <w:noWrap w:val="0"/>
            <w:vAlign w:val="center"/>
          </w:tcPr>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主要职业类别</w:t>
            </w:r>
          </w:p>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（代码）</w:t>
            </w:r>
          </w:p>
        </w:tc>
        <w:tc>
          <w:tcPr>
            <w:tcW w:w="1841" w:type="dxa"/>
            <w:noWrap w:val="0"/>
            <w:vAlign w:val="center"/>
          </w:tcPr>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主要岗位类别（或技术领域）</w:t>
            </w:r>
          </w:p>
        </w:tc>
        <w:tc>
          <w:tcPr>
            <w:tcW w:w="2182" w:type="dxa"/>
            <w:noWrap w:val="0"/>
            <w:vAlign w:val="center"/>
          </w:tcPr>
          <w:p>
            <w:pPr>
              <w:spacing w:line="276" w:lineRule="auto"/>
              <w:jc w:val="center"/>
              <w:rPr>
                <w:rFonts w:ascii="宋体" w:hAnsi="宋体" w:eastAsia="宋体" w:cs="Tahoma"/>
                <w:bCs/>
                <w:color w:val="auto"/>
                <w:kern w:val="0"/>
                <w:sz w:val="24"/>
                <w:szCs w:val="24"/>
              </w:rPr>
            </w:pPr>
            <w:r>
              <w:rPr>
                <w:rFonts w:hint="eastAsia" w:ascii="宋体" w:hAnsi="宋体" w:eastAsia="宋体" w:cs="Tahoma"/>
                <w:bCs/>
                <w:color w:val="auto"/>
                <w:kern w:val="0"/>
                <w:sz w:val="24"/>
                <w:szCs w:val="24"/>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45" w:hRule="exact"/>
        </w:trPr>
        <w:tc>
          <w:tcPr>
            <w:tcW w:w="1100" w:type="dxa"/>
            <w:noWrap w:val="0"/>
            <w:vAlign w:val="center"/>
          </w:tcPr>
          <w:p>
            <w:pPr>
              <w:spacing w:line="360" w:lineRule="auto"/>
              <w:jc w:val="center"/>
              <w:rPr>
                <w:rFonts w:ascii="宋体" w:hAnsi="宋体" w:eastAsia="宋体" w:cs="Tahoma"/>
                <w:bCs/>
                <w:color w:val="auto"/>
                <w:kern w:val="0"/>
                <w:sz w:val="24"/>
                <w:szCs w:val="24"/>
              </w:rPr>
            </w:pPr>
          </w:p>
        </w:tc>
        <w:tc>
          <w:tcPr>
            <w:tcW w:w="1133" w:type="dxa"/>
            <w:noWrap w:val="0"/>
            <w:vAlign w:val="center"/>
          </w:tcPr>
          <w:p>
            <w:pPr>
              <w:spacing w:line="360" w:lineRule="auto"/>
              <w:jc w:val="center"/>
              <w:rPr>
                <w:rFonts w:ascii="宋体" w:hAnsi="宋体" w:eastAsia="宋体" w:cs="Tahoma"/>
                <w:bCs/>
                <w:color w:val="auto"/>
                <w:kern w:val="0"/>
                <w:sz w:val="24"/>
                <w:szCs w:val="24"/>
              </w:rPr>
            </w:pPr>
          </w:p>
        </w:tc>
        <w:tc>
          <w:tcPr>
            <w:tcW w:w="1133" w:type="dxa"/>
            <w:noWrap w:val="0"/>
            <w:vAlign w:val="center"/>
          </w:tcPr>
          <w:p>
            <w:pPr>
              <w:spacing w:line="360" w:lineRule="auto"/>
              <w:jc w:val="center"/>
              <w:rPr>
                <w:rFonts w:ascii="宋体" w:hAnsi="宋体" w:eastAsia="宋体" w:cs="Tahoma"/>
                <w:bCs/>
                <w:color w:val="auto"/>
                <w:kern w:val="0"/>
                <w:sz w:val="24"/>
                <w:szCs w:val="24"/>
              </w:rPr>
            </w:pPr>
          </w:p>
        </w:tc>
        <w:tc>
          <w:tcPr>
            <w:tcW w:w="1133" w:type="dxa"/>
            <w:noWrap w:val="0"/>
            <w:vAlign w:val="center"/>
          </w:tcPr>
          <w:p>
            <w:pPr>
              <w:spacing w:line="360" w:lineRule="auto"/>
              <w:jc w:val="center"/>
              <w:rPr>
                <w:rFonts w:ascii="宋体" w:hAnsi="宋体" w:eastAsia="宋体" w:cs="Tahoma"/>
                <w:bCs/>
                <w:color w:val="auto"/>
                <w:kern w:val="0"/>
                <w:sz w:val="24"/>
                <w:szCs w:val="24"/>
              </w:rPr>
            </w:pPr>
          </w:p>
        </w:tc>
        <w:tc>
          <w:tcPr>
            <w:tcW w:w="1841" w:type="dxa"/>
            <w:noWrap w:val="0"/>
            <w:vAlign w:val="center"/>
          </w:tcPr>
          <w:p>
            <w:pPr>
              <w:spacing w:line="360" w:lineRule="auto"/>
              <w:jc w:val="center"/>
              <w:rPr>
                <w:rFonts w:ascii="宋体" w:hAnsi="宋体" w:eastAsia="宋体" w:cs="Tahoma"/>
                <w:bCs/>
                <w:color w:val="auto"/>
                <w:kern w:val="0"/>
                <w:sz w:val="24"/>
                <w:szCs w:val="24"/>
              </w:rPr>
            </w:pPr>
          </w:p>
        </w:tc>
        <w:tc>
          <w:tcPr>
            <w:tcW w:w="2182" w:type="dxa"/>
            <w:noWrap w:val="0"/>
            <w:vAlign w:val="center"/>
          </w:tcPr>
          <w:p>
            <w:pPr>
              <w:spacing w:line="360" w:lineRule="auto"/>
              <w:jc w:val="center"/>
              <w:rPr>
                <w:rFonts w:ascii="宋体" w:hAnsi="宋体" w:eastAsia="宋体" w:cs="Tahoma"/>
                <w:bCs/>
                <w:color w:val="auto"/>
                <w:kern w:val="0"/>
                <w:sz w:val="24"/>
                <w:szCs w:val="24"/>
              </w:rPr>
            </w:pPr>
          </w:p>
        </w:tc>
      </w:tr>
    </w:tbl>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培养目标与</w:t>
      </w:r>
      <w:r>
        <w:rPr>
          <w:rFonts w:hint="eastAsia" w:ascii="宋体" w:hAnsi="宋体" w:eastAsia="宋体" w:cs="Times New Roman"/>
          <w:b/>
          <w:color w:val="auto"/>
          <w:kern w:val="2"/>
          <w:sz w:val="24"/>
          <w:szCs w:val="24"/>
          <w:lang w:val="en-US" w:eastAsia="zh-CN" w:bidi="ar-SA"/>
        </w:rPr>
        <w:t>培养</w:t>
      </w:r>
      <w:r>
        <w:rPr>
          <w:rFonts w:ascii="宋体" w:hAnsi="宋体" w:eastAsia="宋体" w:cs="Times New Roman"/>
          <w:b/>
          <w:color w:val="auto"/>
          <w:kern w:val="2"/>
          <w:sz w:val="24"/>
          <w:szCs w:val="24"/>
          <w:lang w:val="en-US" w:eastAsia="zh-CN" w:bidi="ar-SA"/>
        </w:rPr>
        <w:t>规格</w:t>
      </w:r>
    </w:p>
    <w:p>
      <w:pPr>
        <w:adjustRightInd w:val="0"/>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培养目标与培养规格应贯彻党的教育方针，落实党和国家对人才培养的有关总体要求，对接行业需求，体现职业教育特色。</w:t>
      </w:r>
    </w:p>
    <w:p>
      <w:pPr>
        <w:adjustRightInd w:val="0"/>
        <w:spacing w:line="360" w:lineRule="auto"/>
        <w:ind w:firstLine="480" w:firstLineChars="200"/>
        <w:rPr>
          <w:rFonts w:ascii="宋体" w:hAnsi="宋体" w:eastAsia="宋体" w:cs="Times New Roman"/>
          <w:b/>
          <w:color w:val="auto"/>
          <w:sz w:val="24"/>
          <w:szCs w:val="24"/>
        </w:rPr>
      </w:pPr>
      <w:r>
        <w:rPr>
          <w:rFonts w:hint="eastAsia" w:ascii="宋体" w:hAnsi="宋体" w:eastAsia="宋体" w:cs="Times New Roman"/>
          <w:color w:val="auto"/>
          <w:sz w:val="24"/>
          <w:szCs w:val="24"/>
        </w:rPr>
        <w:t>具体参考以下表述，结合专业实际研究确定。</w:t>
      </w:r>
    </w:p>
    <w:p>
      <w:pPr>
        <w:adjustRightInd w:val="0"/>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（一）</w:t>
      </w:r>
      <w:r>
        <w:rPr>
          <w:rFonts w:ascii="宋体" w:hAnsi="宋体" w:eastAsia="宋体" w:cs="Times New Roman"/>
          <w:b/>
          <w:color w:val="auto"/>
          <w:sz w:val="24"/>
          <w:szCs w:val="24"/>
        </w:rPr>
        <w:t>培养目标</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培养德智体美劳全面发展的社会主义建设者和接班人</w:t>
      </w:r>
      <w:r>
        <w:rPr>
          <w:rFonts w:hint="eastAsia" w:ascii="宋体" w:hAnsi="宋体" w:eastAsia="宋体" w:cs="Times New Roman"/>
          <w:color w:val="auto"/>
          <w:sz w:val="24"/>
          <w:szCs w:val="24"/>
        </w:rPr>
        <w:t>，</w:t>
      </w:r>
      <w:r>
        <w:rPr>
          <w:rFonts w:ascii="宋体" w:hAnsi="宋体" w:eastAsia="宋体" w:cs="Times New Roman"/>
          <w:color w:val="auto"/>
          <w:sz w:val="24"/>
          <w:szCs w:val="24"/>
        </w:rPr>
        <w:t>培养</w:t>
      </w:r>
      <w:r>
        <w:rPr>
          <w:rFonts w:hint="eastAsia" w:ascii="宋体" w:hAnsi="宋体" w:eastAsia="宋体" w:cs="Times New Roman"/>
          <w:color w:val="auto"/>
          <w:sz w:val="24"/>
          <w:szCs w:val="24"/>
        </w:rPr>
        <w:t>思想政治坚定、</w:t>
      </w:r>
      <w:r>
        <w:rPr>
          <w:rFonts w:ascii="宋体" w:hAnsi="宋体" w:eastAsia="宋体" w:cs="Times New Roman"/>
          <w:color w:val="auto"/>
          <w:sz w:val="24"/>
          <w:szCs w:val="24"/>
        </w:rPr>
        <w:t>德技并修</w:t>
      </w:r>
      <w:r>
        <w:rPr>
          <w:rFonts w:hint="eastAsia" w:ascii="宋体" w:hAnsi="宋体" w:eastAsia="宋体" w:cs="Times New Roman"/>
          <w:color w:val="auto"/>
          <w:sz w:val="24"/>
          <w:szCs w:val="24"/>
        </w:rPr>
        <w:t>、全面发展</w:t>
      </w:r>
      <w:r>
        <w:rPr>
          <w:rFonts w:ascii="宋体" w:hAnsi="宋体" w:eastAsia="宋体" w:cs="Times New Roman"/>
          <w:color w:val="auto"/>
          <w:sz w:val="24"/>
          <w:szCs w:val="24"/>
        </w:rPr>
        <w:t>，适应</w:t>
      </w:r>
      <w:r>
        <w:rPr>
          <w:rFonts w:hint="eastAsia" w:ascii="宋体" w:hAnsi="宋体" w:eastAsia="宋体" w:cs="Times New Roman"/>
          <w:color w:val="auto"/>
          <w:sz w:val="24"/>
          <w:szCs w:val="24"/>
        </w:rPr>
        <w:t>.....需要</w:t>
      </w:r>
      <w:r>
        <w:rPr>
          <w:rFonts w:ascii="宋体" w:hAnsi="宋体" w:eastAsia="宋体" w:cs="Times New Roman"/>
          <w:color w:val="auto"/>
          <w:sz w:val="24"/>
          <w:szCs w:val="24"/>
        </w:rPr>
        <w:t>，具有</w:t>
      </w:r>
      <w:r>
        <w:rPr>
          <w:rFonts w:hint="eastAsia" w:ascii="宋体" w:hAnsi="宋体" w:eastAsia="宋体" w:cs="Times New Roman"/>
          <w:color w:val="auto"/>
          <w:sz w:val="24"/>
          <w:szCs w:val="24"/>
        </w:rPr>
        <w:t>......素质</w:t>
      </w:r>
      <w:r>
        <w:rPr>
          <w:rFonts w:ascii="宋体" w:hAnsi="宋体" w:eastAsia="宋体" w:cs="Times New Roman"/>
          <w:color w:val="auto"/>
          <w:sz w:val="24"/>
          <w:szCs w:val="24"/>
        </w:rPr>
        <w:t>，掌握</w:t>
      </w:r>
      <w:r>
        <w:rPr>
          <w:rFonts w:hint="eastAsia" w:ascii="宋体" w:hAnsi="宋体" w:eastAsia="宋体" w:cs="Times New Roman"/>
          <w:color w:val="auto"/>
          <w:sz w:val="24"/>
          <w:szCs w:val="24"/>
        </w:rPr>
        <w:t>.....等</w:t>
      </w:r>
      <w:r>
        <w:rPr>
          <w:rFonts w:ascii="宋体" w:hAnsi="宋体" w:eastAsia="宋体" w:cs="Times New Roman"/>
          <w:color w:val="auto"/>
          <w:sz w:val="24"/>
          <w:szCs w:val="24"/>
        </w:rPr>
        <w:t>知识</w:t>
      </w:r>
      <w:r>
        <w:rPr>
          <w:rFonts w:hint="eastAsia" w:ascii="宋体" w:hAnsi="宋体" w:eastAsia="宋体" w:cs="Times New Roman"/>
          <w:color w:val="auto"/>
          <w:sz w:val="24"/>
          <w:szCs w:val="24"/>
        </w:rPr>
        <w:t>和技术</w:t>
      </w:r>
      <w:r>
        <w:rPr>
          <w:rFonts w:ascii="宋体" w:hAnsi="宋体" w:eastAsia="宋体" w:cs="Times New Roman"/>
          <w:color w:val="auto"/>
          <w:sz w:val="24"/>
          <w:szCs w:val="24"/>
        </w:rPr>
        <w:t>技能，面向</w:t>
      </w:r>
      <w:r>
        <w:rPr>
          <w:rFonts w:hint="eastAsia" w:ascii="宋体" w:hAnsi="宋体" w:eastAsia="宋体" w:cs="Times New Roman"/>
          <w:color w:val="auto"/>
          <w:sz w:val="24"/>
          <w:szCs w:val="24"/>
        </w:rPr>
        <w:t>......领域</w:t>
      </w:r>
      <w:r>
        <w:rPr>
          <w:rFonts w:ascii="宋体" w:hAnsi="宋体" w:eastAsia="宋体" w:cs="Times New Roman"/>
          <w:color w:val="auto"/>
          <w:sz w:val="24"/>
          <w:szCs w:val="24"/>
        </w:rPr>
        <w:t>的高素质劳动者和技术技能人才。</w:t>
      </w:r>
    </w:p>
    <w:p>
      <w:pPr>
        <w:adjustRightInd w:val="0"/>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（二）培养</w:t>
      </w:r>
      <w:r>
        <w:rPr>
          <w:rFonts w:ascii="宋体" w:hAnsi="宋体" w:eastAsia="宋体" w:cs="Times New Roman"/>
          <w:b/>
          <w:color w:val="auto"/>
          <w:sz w:val="24"/>
          <w:szCs w:val="24"/>
        </w:rPr>
        <w:t>规格</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由素质、知识、能力三个方面的要求组成。</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在素质方面，对照以下总体要求，并结合专业特点研究确定。在知识、能力方面，对应人才培养目标，对照有关课程标准、专业教学标准和通过企业调研、职业能力分析提出的有关具体要求，研究确定并分条目列举。</w:t>
      </w:r>
    </w:p>
    <w:p>
      <w:pPr>
        <w:adjustRightInd w:val="0"/>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1.素质</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具有正确的世界观、人生观、价值观。坚决拥护中国共产党领导，树立中国特色社会主义共同理想，践行社会主义核心价值观，具有深厚的爱国情感、国家认同感、中华民族自豪感</w:t>
      </w:r>
      <w:r>
        <w:rPr>
          <w:rFonts w:hint="eastAsia" w:ascii="宋体" w:hAnsi="宋体" w:eastAsia="宋体" w:cs="Times New Roman"/>
          <w:color w:val="auto"/>
          <w:sz w:val="24"/>
          <w:szCs w:val="24"/>
        </w:rPr>
        <w:t>；</w:t>
      </w:r>
      <w:r>
        <w:rPr>
          <w:rFonts w:ascii="宋体" w:hAnsi="宋体" w:eastAsia="宋体" w:cs="Times New Roman"/>
          <w:color w:val="auto"/>
          <w:sz w:val="24"/>
          <w:szCs w:val="24"/>
        </w:rPr>
        <w:t>崇尚宪法、遵守法律、遵规守纪</w:t>
      </w:r>
      <w:r>
        <w:rPr>
          <w:rFonts w:hint="eastAsia" w:ascii="宋体" w:hAnsi="宋体" w:eastAsia="宋体" w:cs="Times New Roman"/>
          <w:color w:val="auto"/>
          <w:sz w:val="24"/>
          <w:szCs w:val="24"/>
        </w:rPr>
        <w:t>；</w:t>
      </w:r>
      <w:r>
        <w:rPr>
          <w:rFonts w:ascii="宋体" w:hAnsi="宋体" w:eastAsia="宋体" w:cs="Times New Roman"/>
          <w:color w:val="auto"/>
          <w:sz w:val="24"/>
          <w:szCs w:val="24"/>
        </w:rPr>
        <w:t>具有社会责任感和参与意识。</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具有良好的职业道德和职业素养。崇德向善、诚实守信</w:t>
      </w:r>
      <w:r>
        <w:rPr>
          <w:rFonts w:hint="eastAsia" w:ascii="宋体" w:hAnsi="宋体" w:eastAsia="宋体" w:cs="Times New Roman"/>
          <w:color w:val="auto"/>
          <w:sz w:val="24"/>
          <w:szCs w:val="24"/>
        </w:rPr>
        <w:t>、爱岗敬业</w:t>
      </w:r>
      <w:r>
        <w:rPr>
          <w:rFonts w:ascii="宋体" w:hAnsi="宋体" w:eastAsia="宋体" w:cs="Times New Roman"/>
          <w:color w:val="auto"/>
          <w:sz w:val="24"/>
          <w:szCs w:val="24"/>
        </w:rPr>
        <w:t>，具有精益求精的工匠精神</w:t>
      </w:r>
      <w:r>
        <w:rPr>
          <w:rFonts w:hint="eastAsia" w:ascii="宋体" w:hAnsi="宋体" w:eastAsia="宋体" w:cs="Times New Roman"/>
          <w:color w:val="auto"/>
          <w:sz w:val="24"/>
          <w:szCs w:val="24"/>
        </w:rPr>
        <w:t>；尊重劳动、热爱劳动，</w:t>
      </w:r>
      <w:r>
        <w:rPr>
          <w:rFonts w:ascii="宋体" w:hAnsi="宋体" w:eastAsia="宋体" w:cs="Times New Roman"/>
          <w:color w:val="auto"/>
          <w:sz w:val="24"/>
          <w:szCs w:val="24"/>
        </w:rPr>
        <w:t>具有较强的实践能力</w:t>
      </w:r>
      <w:r>
        <w:rPr>
          <w:rFonts w:hint="eastAsia" w:ascii="宋体" w:hAnsi="宋体" w:eastAsia="宋体" w:cs="Times New Roman"/>
          <w:color w:val="auto"/>
          <w:sz w:val="24"/>
          <w:szCs w:val="24"/>
        </w:rPr>
        <w:t>；</w:t>
      </w:r>
      <w:r>
        <w:rPr>
          <w:rFonts w:ascii="宋体" w:hAnsi="宋体" w:eastAsia="宋体" w:cs="Times New Roman"/>
          <w:color w:val="auto"/>
          <w:sz w:val="24"/>
          <w:szCs w:val="24"/>
        </w:rPr>
        <w:t>具有质量意识、</w:t>
      </w:r>
      <w:r>
        <w:rPr>
          <w:rFonts w:hint="eastAsia" w:ascii="宋体" w:hAnsi="宋体" w:eastAsia="宋体" w:cs="Times New Roman"/>
          <w:color w:val="auto"/>
          <w:sz w:val="24"/>
          <w:szCs w:val="24"/>
        </w:rPr>
        <w:t>绿色</w:t>
      </w:r>
      <w:r>
        <w:rPr>
          <w:rFonts w:ascii="宋体" w:hAnsi="宋体" w:eastAsia="宋体" w:cs="Times New Roman"/>
          <w:color w:val="auto"/>
          <w:sz w:val="24"/>
          <w:szCs w:val="24"/>
        </w:rPr>
        <w:t>环保意识、安全意识、信息素养</w:t>
      </w:r>
      <w:r>
        <w:rPr>
          <w:rFonts w:hint="eastAsia" w:ascii="宋体" w:hAnsi="宋体" w:eastAsia="宋体" w:cs="Times New Roman"/>
          <w:color w:val="auto"/>
          <w:sz w:val="24"/>
          <w:szCs w:val="24"/>
        </w:rPr>
        <w:t>、创新精神；</w:t>
      </w:r>
      <w:r>
        <w:rPr>
          <w:rFonts w:ascii="宋体" w:hAnsi="宋体" w:eastAsia="宋体" w:cs="Times New Roman"/>
          <w:color w:val="auto"/>
          <w:sz w:val="24"/>
          <w:szCs w:val="24"/>
        </w:rPr>
        <w:t>具有较强的集体意识和团队合作精神，能够进行有效的人际沟通和协作</w:t>
      </w:r>
      <w:r>
        <w:rPr>
          <w:rFonts w:hint="eastAsia" w:ascii="宋体" w:hAnsi="宋体" w:eastAsia="宋体" w:cs="Times New Roman"/>
          <w:color w:val="auto"/>
          <w:sz w:val="24"/>
          <w:szCs w:val="24"/>
        </w:rPr>
        <w:t>，与社会、自然和谐共处；具有职业生涯规划意识。</w:t>
      </w:r>
    </w:p>
    <w:p>
      <w:pPr>
        <w:spacing w:line="360" w:lineRule="auto"/>
        <w:ind w:firstLine="648"/>
        <w:rPr>
          <w:rFonts w:ascii="宋体" w:hAnsi="宋体" w:eastAsia="宋体" w:cs="Times New Roman"/>
          <w:color w:val="auto"/>
          <w:sz w:val="24"/>
          <w:szCs w:val="24"/>
        </w:rPr>
      </w:pPr>
      <w:r>
        <w:rPr>
          <w:rFonts w:ascii="宋体" w:hAnsi="宋体" w:eastAsia="宋体" w:cs="Times New Roman"/>
          <w:color w:val="auto"/>
          <w:sz w:val="24"/>
          <w:szCs w:val="24"/>
        </w:rPr>
        <w:t>具有</w:t>
      </w:r>
      <w:r>
        <w:rPr>
          <w:rFonts w:hint="eastAsia" w:ascii="宋体" w:hAnsi="宋体" w:eastAsia="宋体" w:cs="Times New Roman"/>
          <w:color w:val="auto"/>
          <w:sz w:val="24"/>
          <w:szCs w:val="24"/>
        </w:rPr>
        <w:t>良</w:t>
      </w:r>
      <w:r>
        <w:rPr>
          <w:rFonts w:ascii="宋体" w:hAnsi="宋体" w:eastAsia="宋体" w:cs="Times New Roman"/>
          <w:color w:val="auto"/>
          <w:sz w:val="24"/>
          <w:szCs w:val="24"/>
        </w:rPr>
        <w:t>好的身心素质</w:t>
      </w:r>
      <w:r>
        <w:rPr>
          <w:rFonts w:hint="eastAsia" w:ascii="宋体" w:hAnsi="宋体" w:eastAsia="宋体" w:cs="Times New Roman"/>
          <w:color w:val="auto"/>
          <w:sz w:val="24"/>
          <w:szCs w:val="24"/>
        </w:rPr>
        <w:t>和人文素养</w:t>
      </w:r>
      <w:r>
        <w:rPr>
          <w:rFonts w:ascii="宋体" w:hAnsi="宋体" w:eastAsia="宋体" w:cs="Times New Roman"/>
          <w:color w:val="auto"/>
          <w:sz w:val="24"/>
          <w:szCs w:val="24"/>
        </w:rPr>
        <w:t>。具有健康的体魄和心理、健全的人格</w:t>
      </w:r>
      <w:r>
        <w:rPr>
          <w:rFonts w:hint="eastAsia" w:ascii="宋体" w:hAnsi="宋体" w:eastAsia="宋体" w:cs="Times New Roman"/>
          <w:color w:val="auto"/>
          <w:sz w:val="24"/>
          <w:szCs w:val="24"/>
        </w:rPr>
        <w:t>，能够掌握基本运动知识和一两项运动技能；</w:t>
      </w:r>
      <w:r>
        <w:rPr>
          <w:rFonts w:ascii="宋体" w:hAnsi="宋体" w:eastAsia="宋体" w:cs="Times New Roman"/>
          <w:color w:val="auto"/>
          <w:sz w:val="24"/>
          <w:szCs w:val="24"/>
        </w:rPr>
        <w:t>具有感受美、表现美、鉴赏美、创造美的能力，具有</w:t>
      </w:r>
      <w:r>
        <w:rPr>
          <w:rFonts w:hint="eastAsia" w:ascii="宋体" w:hAnsi="宋体" w:eastAsia="宋体" w:cs="Times New Roman"/>
          <w:color w:val="auto"/>
          <w:sz w:val="24"/>
          <w:szCs w:val="24"/>
        </w:rPr>
        <w:t>一定的</w:t>
      </w:r>
      <w:r>
        <w:rPr>
          <w:rFonts w:ascii="宋体" w:hAnsi="宋体" w:eastAsia="宋体" w:cs="Times New Roman"/>
          <w:color w:val="auto"/>
          <w:sz w:val="24"/>
          <w:szCs w:val="24"/>
        </w:rPr>
        <w:t>审美和人文素养</w:t>
      </w:r>
      <w:r>
        <w:rPr>
          <w:rFonts w:hint="eastAsia" w:ascii="宋体" w:hAnsi="宋体" w:eastAsia="宋体" w:cs="Times New Roman"/>
          <w:color w:val="auto"/>
          <w:sz w:val="24"/>
          <w:szCs w:val="24"/>
        </w:rPr>
        <w:t>，能够形成一两项艺术特长或爱好；掌握一定的学习方法，</w:t>
      </w:r>
      <w:r>
        <w:rPr>
          <w:rFonts w:ascii="宋体" w:hAnsi="宋体" w:eastAsia="宋体" w:cs="Times New Roman"/>
          <w:color w:val="auto"/>
          <w:sz w:val="24"/>
          <w:szCs w:val="24"/>
        </w:rPr>
        <w:t>具有</w:t>
      </w:r>
      <w:r>
        <w:rPr>
          <w:rFonts w:hint="eastAsia" w:ascii="宋体" w:hAnsi="宋体" w:eastAsia="宋体" w:cs="Times New Roman"/>
          <w:color w:val="auto"/>
          <w:sz w:val="24"/>
          <w:szCs w:val="24"/>
        </w:rPr>
        <w:t>良好的生活习惯、行为习惯和</w:t>
      </w:r>
      <w:r>
        <w:rPr>
          <w:rFonts w:ascii="宋体" w:hAnsi="宋体" w:eastAsia="宋体" w:cs="Times New Roman"/>
          <w:color w:val="auto"/>
          <w:sz w:val="24"/>
          <w:szCs w:val="24"/>
        </w:rPr>
        <w:t>自我管理能力</w:t>
      </w:r>
      <w:r>
        <w:rPr>
          <w:rFonts w:hint="eastAsia" w:ascii="宋体" w:hAnsi="宋体" w:eastAsia="宋体" w:cs="Times New Roman"/>
          <w:color w:val="auto"/>
          <w:sz w:val="24"/>
          <w:szCs w:val="24"/>
        </w:rPr>
        <w:t>。</w:t>
      </w:r>
    </w:p>
    <w:p>
      <w:pPr>
        <w:adjustRightInd w:val="0"/>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2.知识</w:t>
      </w:r>
    </w:p>
    <w:p>
      <w:pPr>
        <w:spacing w:line="360" w:lineRule="auto"/>
        <w:ind w:firstLine="643"/>
        <w:rPr>
          <w:rFonts w:ascii="宋体" w:hAnsi="宋体" w:eastAsia="宋体" w:cs="Times New Roman"/>
          <w:color w:val="auto"/>
          <w:sz w:val="24"/>
          <w:szCs w:val="24"/>
        </w:rPr>
      </w:pPr>
      <w:r>
        <w:rPr>
          <w:rFonts w:hint="eastAsia" w:ascii="宋体" w:hAnsi="宋体" w:eastAsia="宋体" w:cs="Times New Roman"/>
          <w:color w:val="auto"/>
          <w:sz w:val="24"/>
          <w:szCs w:val="24"/>
        </w:rPr>
        <w:t>包括对公共基础知识和专业知识等的培养规格要求。</w:t>
      </w:r>
    </w:p>
    <w:p>
      <w:pPr>
        <w:adjustRightInd w:val="0"/>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3.能力</w:t>
      </w:r>
    </w:p>
    <w:p>
      <w:pPr>
        <w:spacing w:line="360" w:lineRule="auto"/>
        <w:ind w:firstLine="643"/>
        <w:rPr>
          <w:rFonts w:ascii="宋体" w:hAnsi="宋体" w:eastAsia="宋体" w:cs="Times New Roman"/>
          <w:color w:val="auto"/>
          <w:sz w:val="24"/>
          <w:szCs w:val="24"/>
        </w:rPr>
      </w:pPr>
      <w:r>
        <w:rPr>
          <w:rFonts w:hint="eastAsia" w:ascii="宋体" w:hAnsi="宋体" w:eastAsia="宋体" w:cs="Times New Roman"/>
          <w:color w:val="auto"/>
          <w:sz w:val="24"/>
          <w:szCs w:val="24"/>
        </w:rPr>
        <w:t>包括对通用能力和专业技术技能等的培养规格要求。</w:t>
      </w:r>
    </w:p>
    <w:p>
      <w:pPr>
        <w:spacing w:line="360" w:lineRule="auto"/>
        <w:ind w:firstLine="643"/>
        <w:rPr>
          <w:rFonts w:ascii="宋体" w:hAnsi="宋体" w:eastAsia="宋体" w:cs="Times New Roman"/>
          <w:color w:val="auto"/>
          <w:sz w:val="24"/>
          <w:szCs w:val="24"/>
        </w:rPr>
      </w:pPr>
      <w:r>
        <w:rPr>
          <w:rFonts w:hint="eastAsia" w:ascii="宋体" w:hAnsi="宋体" w:eastAsia="宋体" w:cs="Times New Roman"/>
          <w:color w:val="auto"/>
          <w:sz w:val="24"/>
          <w:szCs w:val="24"/>
        </w:rPr>
        <w:t>其中通用能力一般包括口语和书面表达能力，解决实际问题的能力，终身学习能力，信息技术应用能力，独立思考、逻辑推理、信息加工能力等。</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课程设置</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职业</w:t>
      </w:r>
      <w:r>
        <w:rPr>
          <w:rFonts w:hint="eastAsia" w:ascii="宋体" w:hAnsi="宋体" w:eastAsia="宋体" w:cs="Times New Roman"/>
          <w:color w:val="auto"/>
          <w:sz w:val="24"/>
          <w:szCs w:val="24"/>
        </w:rPr>
        <w:t>院校</w:t>
      </w:r>
      <w:r>
        <w:rPr>
          <w:rFonts w:ascii="宋体" w:hAnsi="宋体" w:eastAsia="宋体" w:cs="Times New Roman"/>
          <w:color w:val="auto"/>
          <w:sz w:val="24"/>
          <w:szCs w:val="24"/>
        </w:rPr>
        <w:t>课程</w:t>
      </w:r>
      <w:r>
        <w:rPr>
          <w:rFonts w:hint="eastAsia" w:ascii="宋体" w:hAnsi="宋体" w:eastAsia="宋体" w:cs="Times New Roman"/>
          <w:color w:val="auto"/>
          <w:sz w:val="24"/>
          <w:szCs w:val="24"/>
        </w:rPr>
        <w:t>主要包括公共基础课程和专业课程。</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公共基础课是各专业学生均需学习的有关基础理论、基本知识和基本素养的课程，专业课程是支撑学生达到本专业培养目标，掌握相应专业领域知识、能力、素质的课程。课程设置及教学内容应基于国家相关文件规定，强化对培养目标与人才规格的支撑，融入有关国家教学标准要求，融入行业企业最新技术技能，注重与职业面向、职业能力要求以及岗位工作任务的对接。</w:t>
      </w:r>
    </w:p>
    <w:p>
      <w:pPr>
        <w:adjustRightInd w:val="0"/>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（一）</w:t>
      </w:r>
      <w:r>
        <w:rPr>
          <w:rFonts w:ascii="宋体" w:hAnsi="宋体" w:eastAsia="宋体" w:cs="Times New Roman"/>
          <w:b/>
          <w:color w:val="auto"/>
          <w:sz w:val="24"/>
          <w:szCs w:val="24"/>
        </w:rPr>
        <w:t>公共基础课程</w:t>
      </w:r>
    </w:p>
    <w:p>
      <w:pPr>
        <w:adjustRightInd w:val="0"/>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根据</w:t>
      </w:r>
      <w:r>
        <w:rPr>
          <w:rFonts w:ascii="宋体" w:hAnsi="宋体" w:eastAsia="宋体" w:cs="Times New Roman"/>
          <w:color w:val="auto"/>
          <w:sz w:val="24"/>
          <w:szCs w:val="24"/>
        </w:rPr>
        <w:t>国家</w:t>
      </w:r>
      <w:r>
        <w:rPr>
          <w:rFonts w:hint="eastAsia" w:ascii="宋体" w:hAnsi="宋体" w:eastAsia="宋体" w:cs="Times New Roman"/>
          <w:color w:val="auto"/>
          <w:sz w:val="24"/>
          <w:szCs w:val="24"/>
        </w:rPr>
        <w:t>有</w:t>
      </w:r>
      <w:r>
        <w:rPr>
          <w:rFonts w:ascii="宋体" w:hAnsi="宋体" w:eastAsia="宋体" w:cs="Times New Roman"/>
          <w:color w:val="auto"/>
          <w:sz w:val="24"/>
          <w:szCs w:val="24"/>
        </w:rPr>
        <w:t>关文件规定，</w:t>
      </w:r>
      <w:r>
        <w:rPr>
          <w:rFonts w:hint="eastAsia" w:ascii="宋体" w:hAnsi="宋体" w:eastAsia="宋体" w:cs="Times New Roman"/>
          <w:color w:val="auto"/>
          <w:sz w:val="24"/>
          <w:szCs w:val="24"/>
        </w:rPr>
        <w:t>应</w:t>
      </w:r>
      <w:r>
        <w:rPr>
          <w:rFonts w:ascii="宋体" w:hAnsi="宋体" w:eastAsia="宋体" w:cs="Times New Roman"/>
          <w:color w:val="auto"/>
          <w:sz w:val="24"/>
          <w:szCs w:val="24"/>
        </w:rPr>
        <w:t>将思想政治理论课、</w:t>
      </w:r>
      <w:r>
        <w:rPr>
          <w:rFonts w:hint="eastAsia" w:ascii="宋体" w:hAnsi="宋体" w:eastAsia="宋体" w:cs="Times New Roman"/>
          <w:color w:val="auto"/>
          <w:sz w:val="24"/>
          <w:szCs w:val="24"/>
        </w:rPr>
        <w:t>大学生</w:t>
      </w:r>
      <w:r>
        <w:rPr>
          <w:rFonts w:ascii="宋体" w:hAnsi="宋体" w:eastAsia="宋体" w:cs="Times New Roman"/>
          <w:color w:val="auto"/>
          <w:sz w:val="24"/>
          <w:szCs w:val="24"/>
        </w:rPr>
        <w:t>心理健康</w:t>
      </w:r>
      <w:r>
        <w:rPr>
          <w:rFonts w:hint="eastAsia" w:ascii="宋体" w:hAnsi="宋体" w:eastAsia="宋体" w:cs="Times New Roman"/>
          <w:color w:val="auto"/>
          <w:sz w:val="24"/>
          <w:szCs w:val="24"/>
        </w:rPr>
        <w:t>、</w:t>
      </w:r>
      <w:r>
        <w:rPr>
          <w:rFonts w:ascii="宋体" w:hAnsi="宋体" w:eastAsia="宋体" w:cs="Times New Roman"/>
          <w:color w:val="auto"/>
          <w:sz w:val="24"/>
          <w:szCs w:val="24"/>
        </w:rPr>
        <w:t>军事</w:t>
      </w:r>
      <w:r>
        <w:rPr>
          <w:rFonts w:hint="eastAsia" w:ascii="宋体" w:hAnsi="宋体" w:eastAsia="宋体" w:cs="Times New Roman"/>
          <w:color w:val="auto"/>
          <w:sz w:val="24"/>
          <w:szCs w:val="24"/>
        </w:rPr>
        <w:t>理论</w:t>
      </w:r>
      <w:r>
        <w:rPr>
          <w:rFonts w:ascii="宋体" w:hAnsi="宋体" w:eastAsia="宋体" w:cs="Times New Roman"/>
          <w:color w:val="auto"/>
          <w:sz w:val="24"/>
          <w:szCs w:val="24"/>
        </w:rPr>
        <w:t>、体育等课程列入公共基础必修课程</w:t>
      </w:r>
      <w:r>
        <w:rPr>
          <w:rFonts w:hint="eastAsia" w:ascii="宋体" w:hAnsi="宋体" w:eastAsia="宋体" w:cs="Times New Roman"/>
          <w:color w:val="auto"/>
          <w:sz w:val="24"/>
          <w:szCs w:val="24"/>
        </w:rPr>
        <w:t>。</w:t>
      </w:r>
    </w:p>
    <w:tbl>
      <w:tblPr>
        <w:tblStyle w:val="16"/>
        <w:tblW w:w="8522" w:type="dxa"/>
        <w:tblInd w:w="0" w:type="dxa"/>
        <w:tblLayout w:type="fixed"/>
        <w:tblCellMar>
          <w:top w:w="0" w:type="dxa"/>
          <w:left w:w="108" w:type="dxa"/>
          <w:bottom w:w="0" w:type="dxa"/>
          <w:right w:w="108" w:type="dxa"/>
        </w:tblCellMar>
      </w:tblPr>
      <w:tblGrid>
        <w:gridCol w:w="1850"/>
        <w:gridCol w:w="815"/>
        <w:gridCol w:w="1082"/>
        <w:gridCol w:w="1082"/>
        <w:gridCol w:w="1082"/>
        <w:gridCol w:w="1082"/>
        <w:gridCol w:w="1529"/>
      </w:tblGrid>
      <w:tr>
        <w:tblPrEx>
          <w:tblLayout w:type="fixed"/>
          <w:tblCellMar>
            <w:top w:w="0" w:type="dxa"/>
            <w:left w:w="108" w:type="dxa"/>
            <w:bottom w:w="0" w:type="dxa"/>
            <w:right w:w="108" w:type="dxa"/>
          </w:tblCellMar>
        </w:tblPrEx>
        <w:trPr>
          <w:trHeight w:val="1134"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课程</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学分</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Ⅰ学期学学时</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Ⅱ学期学时</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Ⅲ学期学时</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Ⅳ学期学时</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文件号</w:t>
            </w:r>
          </w:p>
        </w:tc>
      </w:tr>
      <w:tr>
        <w:tblPrEx>
          <w:tblLayout w:type="fixed"/>
          <w:tblCellMar>
            <w:top w:w="0" w:type="dxa"/>
            <w:left w:w="108" w:type="dxa"/>
            <w:bottom w:w="0" w:type="dxa"/>
            <w:right w:w="108" w:type="dxa"/>
          </w:tblCellMar>
        </w:tblPrEx>
        <w:trPr>
          <w:trHeight w:val="1169"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思想道德修养与法律基础</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ascii="宋体" w:hAnsi="宋体" w:eastAsia="宋体" w:cs="Times New Roman"/>
                <w:color w:val="auto"/>
                <w:kern w:val="0"/>
                <w:sz w:val="24"/>
                <w:szCs w:val="24"/>
              </w:rPr>
              <w:t>3</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总课时</w:t>
            </w:r>
          </w:p>
          <w:p>
            <w:pPr>
              <w:jc w:val="center"/>
              <w:rPr>
                <w:rFonts w:ascii="宋体" w:hAnsi="宋体" w:eastAsia="宋体" w:cs="Times New Roman"/>
                <w:color w:val="auto"/>
                <w:kern w:val="0"/>
                <w:sz w:val="24"/>
                <w:szCs w:val="24"/>
              </w:rPr>
            </w:pPr>
            <w:r>
              <w:rPr>
                <w:rFonts w:ascii="宋体" w:hAnsi="宋体" w:eastAsia="宋体" w:cs="Times New Roman"/>
                <w:color w:val="auto"/>
                <w:kern w:val="0"/>
                <w:sz w:val="24"/>
                <w:szCs w:val="24"/>
              </w:rPr>
              <w:t>48</w:t>
            </w:r>
            <w:r>
              <w:rPr>
                <w:rFonts w:hint="eastAsia" w:ascii="宋体" w:hAnsi="宋体" w:eastAsia="宋体" w:cs="Times New Roman"/>
                <w:color w:val="auto"/>
                <w:kern w:val="0"/>
                <w:sz w:val="24"/>
                <w:szCs w:val="24"/>
              </w:rPr>
              <w:t>节</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教育部社教科</w:t>
            </w:r>
            <w:r>
              <w:rPr>
                <w:rFonts w:ascii="宋体" w:hAnsi="宋体" w:eastAsia="宋体" w:cs="Times New Roman"/>
                <w:color w:val="auto"/>
                <w:kern w:val="0"/>
                <w:sz w:val="24"/>
                <w:szCs w:val="24"/>
              </w:rPr>
              <w:t>(2018)2</w:t>
            </w:r>
            <w:r>
              <w:rPr>
                <w:rFonts w:hint="eastAsia" w:ascii="宋体" w:hAnsi="宋体" w:eastAsia="宋体" w:cs="Times New Roman"/>
                <w:color w:val="auto"/>
                <w:kern w:val="0"/>
                <w:sz w:val="24"/>
                <w:szCs w:val="24"/>
              </w:rPr>
              <w:t>号</w:t>
            </w:r>
          </w:p>
        </w:tc>
      </w:tr>
      <w:tr>
        <w:tblPrEx>
          <w:tblLayout w:type="fixed"/>
          <w:tblCellMar>
            <w:top w:w="0" w:type="dxa"/>
            <w:left w:w="108" w:type="dxa"/>
            <w:bottom w:w="0" w:type="dxa"/>
            <w:right w:w="108" w:type="dxa"/>
          </w:tblCellMar>
        </w:tblPrEx>
        <w:trPr>
          <w:trHeight w:val="1134"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毛泽东思想和中国特色社会主义理论体</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概论</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ascii="宋体" w:hAnsi="宋体" w:eastAsia="宋体" w:cs="Times New Roman"/>
                <w:color w:val="auto"/>
                <w:kern w:val="0"/>
                <w:sz w:val="24"/>
                <w:szCs w:val="24"/>
              </w:rPr>
              <w:t>4</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总课时</w:t>
            </w:r>
            <w:r>
              <w:rPr>
                <w:rFonts w:ascii="宋体" w:hAnsi="宋体" w:eastAsia="宋体" w:cs="Times New Roman"/>
                <w:color w:val="auto"/>
                <w:kern w:val="0"/>
                <w:sz w:val="24"/>
                <w:szCs w:val="24"/>
              </w:rPr>
              <w:t>64-72</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教育部社教科</w:t>
            </w:r>
            <w:r>
              <w:rPr>
                <w:rFonts w:ascii="宋体" w:hAnsi="宋体" w:eastAsia="宋体" w:cs="Times New Roman"/>
                <w:color w:val="auto"/>
                <w:kern w:val="0"/>
                <w:sz w:val="24"/>
                <w:szCs w:val="24"/>
              </w:rPr>
              <w:t>(2018)2</w:t>
            </w:r>
            <w:r>
              <w:rPr>
                <w:rFonts w:hint="eastAsia" w:ascii="宋体" w:hAnsi="宋体" w:eastAsia="宋体" w:cs="Times New Roman"/>
                <w:color w:val="auto"/>
                <w:kern w:val="0"/>
                <w:sz w:val="24"/>
                <w:szCs w:val="24"/>
              </w:rPr>
              <w:t>号</w:t>
            </w:r>
          </w:p>
        </w:tc>
      </w:tr>
      <w:tr>
        <w:tblPrEx>
          <w:tblLayout w:type="fixed"/>
          <w:tblCellMar>
            <w:top w:w="0" w:type="dxa"/>
            <w:left w:w="108" w:type="dxa"/>
            <w:bottom w:w="0" w:type="dxa"/>
            <w:right w:w="108" w:type="dxa"/>
          </w:tblCellMar>
        </w:tblPrEx>
        <w:trPr>
          <w:trHeight w:val="989"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形势与政策</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ascii="宋体" w:hAnsi="宋体" w:eastAsia="宋体" w:cs="Times New Roman"/>
                <w:color w:val="auto"/>
                <w:kern w:val="0"/>
                <w:sz w:val="24"/>
                <w:szCs w:val="24"/>
              </w:rPr>
              <w:t>1</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每学期共</w:t>
            </w:r>
            <w:r>
              <w:rPr>
                <w:rFonts w:ascii="宋体" w:hAnsi="宋体" w:eastAsia="宋体" w:cs="Times New Roman"/>
                <w:color w:val="auto"/>
                <w:kern w:val="0"/>
                <w:sz w:val="24"/>
                <w:szCs w:val="24"/>
              </w:rPr>
              <w:t>8</w:t>
            </w:r>
            <w:r>
              <w:rPr>
                <w:rFonts w:hint="eastAsia" w:ascii="宋体" w:hAnsi="宋体" w:eastAsia="宋体" w:cs="Times New Roman"/>
                <w:color w:val="auto"/>
                <w:kern w:val="0"/>
                <w:sz w:val="24"/>
                <w:szCs w:val="24"/>
              </w:rPr>
              <w:t>节</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每学期共</w:t>
            </w:r>
            <w:r>
              <w:rPr>
                <w:rFonts w:ascii="宋体" w:hAnsi="宋体" w:eastAsia="宋体" w:cs="Times New Roman"/>
                <w:color w:val="auto"/>
                <w:kern w:val="0"/>
                <w:sz w:val="24"/>
                <w:szCs w:val="24"/>
              </w:rPr>
              <w:t>8</w:t>
            </w:r>
            <w:r>
              <w:rPr>
                <w:rFonts w:hint="eastAsia" w:ascii="宋体" w:hAnsi="宋体" w:eastAsia="宋体" w:cs="Times New Roman"/>
                <w:color w:val="auto"/>
                <w:kern w:val="0"/>
                <w:sz w:val="24"/>
                <w:szCs w:val="24"/>
              </w:rPr>
              <w:t>节</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每学期共</w:t>
            </w:r>
            <w:r>
              <w:rPr>
                <w:rFonts w:ascii="宋体" w:hAnsi="宋体" w:eastAsia="宋体" w:cs="Times New Roman"/>
                <w:color w:val="auto"/>
                <w:kern w:val="0"/>
                <w:sz w:val="24"/>
                <w:szCs w:val="24"/>
              </w:rPr>
              <w:t>8</w:t>
            </w:r>
            <w:r>
              <w:rPr>
                <w:rFonts w:hint="eastAsia" w:ascii="宋体" w:hAnsi="宋体" w:eastAsia="宋体" w:cs="Times New Roman"/>
                <w:color w:val="auto"/>
                <w:kern w:val="0"/>
                <w:sz w:val="24"/>
                <w:szCs w:val="24"/>
              </w:rPr>
              <w:t>节</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每学期共</w:t>
            </w:r>
            <w:r>
              <w:rPr>
                <w:rFonts w:ascii="宋体" w:hAnsi="宋体" w:eastAsia="宋体" w:cs="Times New Roman"/>
                <w:color w:val="auto"/>
                <w:kern w:val="0"/>
                <w:sz w:val="24"/>
                <w:szCs w:val="24"/>
              </w:rPr>
              <w:t>8</w:t>
            </w:r>
            <w:r>
              <w:rPr>
                <w:rFonts w:hint="eastAsia" w:ascii="宋体" w:hAnsi="宋体" w:eastAsia="宋体" w:cs="Times New Roman"/>
                <w:color w:val="auto"/>
                <w:kern w:val="0"/>
                <w:sz w:val="24"/>
                <w:szCs w:val="24"/>
              </w:rPr>
              <w:t>节</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教育部社教科</w:t>
            </w:r>
            <w:r>
              <w:rPr>
                <w:rFonts w:ascii="宋体" w:hAnsi="宋体" w:eastAsia="宋体" w:cs="Times New Roman"/>
                <w:color w:val="auto"/>
                <w:kern w:val="0"/>
                <w:sz w:val="24"/>
                <w:szCs w:val="24"/>
              </w:rPr>
              <w:t>(2018)1</w:t>
            </w:r>
            <w:r>
              <w:rPr>
                <w:rFonts w:hint="eastAsia" w:ascii="宋体" w:hAnsi="宋体" w:eastAsia="宋体" w:cs="Times New Roman"/>
                <w:color w:val="auto"/>
                <w:kern w:val="0"/>
                <w:sz w:val="24"/>
                <w:szCs w:val="24"/>
              </w:rPr>
              <w:t>号</w:t>
            </w:r>
          </w:p>
        </w:tc>
      </w:tr>
      <w:tr>
        <w:tblPrEx>
          <w:tblLayout w:type="fixed"/>
          <w:tblCellMar>
            <w:top w:w="0" w:type="dxa"/>
            <w:left w:w="108" w:type="dxa"/>
            <w:bottom w:w="0" w:type="dxa"/>
            <w:right w:w="108" w:type="dxa"/>
          </w:tblCellMar>
        </w:tblPrEx>
        <w:trPr>
          <w:trHeight w:val="975"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大学生心理健康</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2</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总课时</w:t>
            </w:r>
            <w:r>
              <w:rPr>
                <w:rFonts w:ascii="宋体" w:hAnsi="宋体" w:eastAsia="宋体" w:cs="Times New Roman"/>
                <w:color w:val="auto"/>
                <w:kern w:val="0"/>
                <w:sz w:val="24"/>
                <w:szCs w:val="24"/>
              </w:rPr>
              <w:t>36</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粤教思函</w:t>
            </w:r>
          </w:p>
          <w:p>
            <w:pPr>
              <w:jc w:val="center"/>
              <w:rPr>
                <w:rFonts w:ascii="宋体" w:hAnsi="宋体" w:eastAsia="宋体" w:cs="Times New Roman"/>
                <w:color w:val="auto"/>
                <w:kern w:val="0"/>
                <w:sz w:val="24"/>
                <w:szCs w:val="24"/>
              </w:rPr>
            </w:pPr>
            <w:r>
              <w:rPr>
                <w:rFonts w:ascii="宋体" w:hAnsi="宋体" w:eastAsia="宋体" w:cs="Times New Roman"/>
                <w:color w:val="auto"/>
                <w:kern w:val="0"/>
                <w:sz w:val="24"/>
                <w:szCs w:val="24"/>
              </w:rPr>
              <w:t>(2018)16</w:t>
            </w:r>
            <w:r>
              <w:rPr>
                <w:rFonts w:hint="eastAsia" w:ascii="宋体" w:hAnsi="宋体" w:eastAsia="宋体" w:cs="Times New Roman"/>
                <w:color w:val="auto"/>
                <w:kern w:val="0"/>
                <w:sz w:val="24"/>
                <w:szCs w:val="24"/>
              </w:rPr>
              <w:t>号</w:t>
            </w:r>
          </w:p>
        </w:tc>
      </w:tr>
      <w:tr>
        <w:tblPrEx>
          <w:tblLayout w:type="fixed"/>
          <w:tblCellMar>
            <w:top w:w="0" w:type="dxa"/>
            <w:left w:w="108" w:type="dxa"/>
            <w:bottom w:w="0" w:type="dxa"/>
            <w:right w:w="108" w:type="dxa"/>
          </w:tblCellMar>
        </w:tblPrEx>
        <w:trPr>
          <w:trHeight w:val="883"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军事理论</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ascii="宋体" w:hAnsi="宋体" w:eastAsia="宋体" w:cs="Times New Roman"/>
                <w:color w:val="auto"/>
                <w:kern w:val="0"/>
                <w:sz w:val="24"/>
                <w:szCs w:val="24"/>
              </w:rPr>
              <w:t>2</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总课时</w:t>
            </w:r>
            <w:r>
              <w:rPr>
                <w:rFonts w:ascii="宋体" w:hAnsi="宋体" w:eastAsia="宋体" w:cs="Times New Roman"/>
                <w:color w:val="auto"/>
                <w:kern w:val="0"/>
                <w:sz w:val="24"/>
                <w:szCs w:val="24"/>
              </w:rPr>
              <w:t>36</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pPr>
              <w:widowControl/>
              <w:ind w:right="84"/>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教体艺〔</w:t>
            </w:r>
            <w:r>
              <w:rPr>
                <w:rFonts w:ascii="宋体" w:hAnsi="宋体" w:eastAsia="宋体" w:cs="宋体"/>
                <w:color w:val="auto"/>
                <w:kern w:val="0"/>
                <w:sz w:val="24"/>
                <w:szCs w:val="24"/>
              </w:rPr>
              <w:t>2019〕1号</w:t>
            </w:r>
          </w:p>
        </w:tc>
      </w:tr>
      <w:tr>
        <w:tblPrEx>
          <w:tblLayout w:type="fixed"/>
          <w:tblCellMar>
            <w:top w:w="0" w:type="dxa"/>
            <w:left w:w="108" w:type="dxa"/>
            <w:bottom w:w="0" w:type="dxa"/>
            <w:right w:w="108" w:type="dxa"/>
          </w:tblCellMar>
        </w:tblPrEx>
        <w:trPr>
          <w:trHeight w:val="756"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体育</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ascii="宋体" w:hAnsi="宋体" w:eastAsia="宋体" w:cs="Times New Roman"/>
                <w:color w:val="auto"/>
                <w:kern w:val="0"/>
                <w:sz w:val="24"/>
                <w:szCs w:val="24"/>
              </w:rPr>
              <w:t>7</w:t>
            </w:r>
          </w:p>
        </w:tc>
        <w:tc>
          <w:tcPr>
            <w:tcW w:w="432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总课时</w:t>
            </w:r>
            <w:r>
              <w:rPr>
                <w:rFonts w:ascii="宋体" w:hAnsi="宋体" w:eastAsia="宋体" w:cs="Times New Roman"/>
                <w:color w:val="auto"/>
                <w:kern w:val="0"/>
                <w:sz w:val="24"/>
                <w:szCs w:val="24"/>
              </w:rPr>
              <w:t>108（4学期）</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ind w:right="84"/>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教体艺（</w:t>
            </w:r>
            <w:r>
              <w:rPr>
                <w:rFonts w:ascii="宋体" w:hAnsi="宋体" w:eastAsia="宋体" w:cs="宋体"/>
                <w:color w:val="auto"/>
                <w:kern w:val="0"/>
                <w:sz w:val="24"/>
                <w:szCs w:val="24"/>
              </w:rPr>
              <w:t>2014</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4号</w:t>
            </w:r>
          </w:p>
        </w:tc>
      </w:tr>
      <w:tr>
        <w:tblPrEx>
          <w:tblLayout w:type="fixed"/>
          <w:tblCellMar>
            <w:top w:w="0" w:type="dxa"/>
            <w:left w:w="108" w:type="dxa"/>
            <w:bottom w:w="0" w:type="dxa"/>
            <w:right w:w="108" w:type="dxa"/>
          </w:tblCellMar>
        </w:tblPrEx>
        <w:trPr>
          <w:trHeight w:val="756"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职业生涯与就业指导</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2</w:t>
            </w:r>
          </w:p>
        </w:tc>
        <w:tc>
          <w:tcPr>
            <w:tcW w:w="432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总课时32</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ind w:right="84"/>
              <w:jc w:val="center"/>
              <w:rPr>
                <w:rFonts w:hint="eastAsia" w:ascii="宋体" w:hAnsi="宋体" w:eastAsia="宋体" w:cs="宋体"/>
                <w:color w:val="auto"/>
                <w:kern w:val="0"/>
                <w:sz w:val="24"/>
                <w:szCs w:val="24"/>
              </w:rPr>
            </w:pPr>
          </w:p>
        </w:tc>
      </w:tr>
      <w:tr>
        <w:tblPrEx>
          <w:tblLayout w:type="fixed"/>
          <w:tblCellMar>
            <w:top w:w="0" w:type="dxa"/>
            <w:left w:w="108" w:type="dxa"/>
            <w:bottom w:w="0" w:type="dxa"/>
            <w:right w:w="108" w:type="dxa"/>
          </w:tblCellMar>
        </w:tblPrEx>
        <w:trPr>
          <w:trHeight w:val="756" w:hRule="atLeast"/>
        </w:trPr>
        <w:tc>
          <w:tcPr>
            <w:tcW w:w="18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color w:val="auto"/>
                <w:kern w:val="0"/>
                <w:sz w:val="24"/>
                <w:szCs w:val="24"/>
              </w:rPr>
            </w:pPr>
            <w:r>
              <w:rPr>
                <w:rFonts w:hint="eastAsia" w:ascii="宋体" w:hAnsi="宋体" w:eastAsia="宋体" w:cs="Times New Roman"/>
                <w:color w:val="auto"/>
                <w:sz w:val="24"/>
                <w:szCs w:val="24"/>
              </w:rPr>
              <w:t>创新创业教育</w:t>
            </w: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2</w:t>
            </w:r>
          </w:p>
        </w:tc>
        <w:tc>
          <w:tcPr>
            <w:tcW w:w="432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总课时32</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ind w:right="84"/>
              <w:jc w:val="center"/>
              <w:rPr>
                <w:rFonts w:hint="eastAsia" w:ascii="宋体" w:hAnsi="宋体" w:eastAsia="宋体" w:cs="宋体"/>
                <w:color w:val="auto"/>
                <w:kern w:val="0"/>
                <w:sz w:val="24"/>
                <w:szCs w:val="24"/>
              </w:rPr>
            </w:pPr>
          </w:p>
        </w:tc>
      </w:tr>
    </w:tbl>
    <w:p>
      <w:pPr>
        <w:adjustRightInd w:val="0"/>
        <w:spacing w:line="360" w:lineRule="auto"/>
        <w:ind w:firstLine="480" w:firstLineChars="200"/>
        <w:rPr>
          <w:rFonts w:ascii="宋体" w:hAnsi="宋体" w:eastAsia="宋体" w:cs="Times New Roman"/>
          <w:color w:val="auto"/>
          <w:sz w:val="24"/>
          <w:szCs w:val="24"/>
        </w:rPr>
      </w:pPr>
    </w:p>
    <w:p>
      <w:pPr>
        <w:adjustRightInd w:val="0"/>
        <w:spacing w:line="360" w:lineRule="auto"/>
        <w:ind w:firstLine="482" w:firstLineChars="200"/>
        <w:rPr>
          <w:rFonts w:ascii="宋体" w:hAnsi="宋体" w:eastAsia="宋体" w:cs="Times New Roman"/>
          <w:b/>
          <w:color w:val="auto"/>
          <w:sz w:val="24"/>
          <w:szCs w:val="24"/>
        </w:rPr>
      </w:pPr>
      <w:r>
        <w:rPr>
          <w:rFonts w:hint="eastAsia" w:ascii="宋体" w:hAnsi="宋体" w:eastAsia="宋体" w:cs="Times New Roman"/>
          <w:b/>
          <w:color w:val="auto"/>
          <w:sz w:val="24"/>
          <w:szCs w:val="24"/>
        </w:rPr>
        <w:t>（二）</w:t>
      </w:r>
      <w:r>
        <w:rPr>
          <w:rFonts w:ascii="宋体" w:hAnsi="宋体" w:eastAsia="宋体" w:cs="Times New Roman"/>
          <w:b/>
          <w:color w:val="auto"/>
          <w:sz w:val="24"/>
          <w:szCs w:val="24"/>
        </w:rPr>
        <w:t>专业课程</w:t>
      </w:r>
    </w:p>
    <w:p>
      <w:pPr>
        <w:adjustRightInd w:val="0"/>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专业课程设置要与培养目标相适应，课程内容要紧密联</w:t>
      </w:r>
      <w:r>
        <w:rPr>
          <w:rFonts w:hint="eastAsia" w:ascii="宋体" w:hAnsi="宋体" w:eastAsia="宋体" w:cs="Times New Roman"/>
          <w:color w:val="auto"/>
          <w:sz w:val="24"/>
          <w:szCs w:val="24"/>
          <w:lang w:eastAsia="zh-CN"/>
        </w:rPr>
        <w:t>二级学院</w:t>
      </w:r>
      <w:r>
        <w:rPr>
          <w:rFonts w:ascii="宋体" w:hAnsi="宋体" w:eastAsia="宋体" w:cs="Times New Roman"/>
          <w:color w:val="auto"/>
          <w:sz w:val="24"/>
          <w:szCs w:val="24"/>
        </w:rPr>
        <w:t>生产劳动实际和社会实践，突出应用性和实践性，注重学生职业能力和职业精神的培养。按照相应职业岗位（群）的能力要求，确定5-8门专业核心课程</w:t>
      </w:r>
      <w:r>
        <w:rPr>
          <w:rFonts w:hint="eastAsia" w:ascii="宋体" w:hAnsi="宋体" w:eastAsia="宋体" w:cs="Times New Roman"/>
          <w:color w:val="auto"/>
          <w:sz w:val="24"/>
          <w:szCs w:val="24"/>
        </w:rPr>
        <w:t>，并明确教学内容及要求</w:t>
      </w:r>
      <w:r>
        <w:rPr>
          <w:rFonts w:ascii="宋体" w:hAnsi="宋体" w:eastAsia="宋体" w:cs="Times New Roman"/>
          <w:color w:val="auto"/>
          <w:sz w:val="24"/>
          <w:szCs w:val="24"/>
        </w:rPr>
        <w:t>。</w:t>
      </w:r>
      <w:r>
        <w:rPr>
          <w:rFonts w:hint="eastAsia" w:ascii="宋体" w:hAnsi="宋体" w:eastAsia="宋体" w:cs="Times New Roman"/>
          <w:color w:val="auto"/>
          <w:sz w:val="24"/>
          <w:szCs w:val="24"/>
        </w:rPr>
        <w:t>专业课程设置要注重引导和体现理实一体化教学。</w:t>
      </w:r>
    </w:p>
    <w:p>
      <w:pPr>
        <w:adjustRightInd w:val="0"/>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实践性教学环节主要包括实习、实训、毕业设计（论文）等。</w:t>
      </w:r>
      <w:r>
        <w:rPr>
          <w:rFonts w:hint="eastAsia" w:ascii="宋体" w:hAnsi="宋体" w:eastAsia="宋体" w:cs="Times New Roman"/>
          <w:color w:val="auto"/>
          <w:sz w:val="24"/>
          <w:szCs w:val="24"/>
        </w:rPr>
        <w:t>应依据国家发布的有关专业顶岗实习标准，</w:t>
      </w:r>
      <w:r>
        <w:rPr>
          <w:rFonts w:ascii="宋体" w:hAnsi="宋体" w:eastAsia="宋体" w:cs="Times New Roman"/>
          <w:color w:val="auto"/>
          <w:sz w:val="24"/>
          <w:szCs w:val="24"/>
        </w:rPr>
        <w:t>严格执行《职业学校学生实习管理规定》有关要求</w:t>
      </w:r>
      <w:r>
        <w:rPr>
          <w:rFonts w:hint="eastAsia" w:ascii="宋体" w:hAnsi="宋体" w:eastAsia="宋体" w:cs="Times New Roman"/>
          <w:color w:val="auto"/>
          <w:sz w:val="24"/>
          <w:szCs w:val="24"/>
        </w:rPr>
        <w:t>，组织好认识实习、跟岗实习和顶岗实习。</w:t>
      </w:r>
    </w:p>
    <w:p>
      <w:pPr>
        <w:adjustRightInd w:val="0"/>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应根据有关文件规定</w:t>
      </w:r>
      <w:r>
        <w:rPr>
          <w:rFonts w:ascii="宋体" w:hAnsi="宋体" w:eastAsia="宋体" w:cs="Times New Roman"/>
          <w:color w:val="auto"/>
          <w:sz w:val="24"/>
          <w:szCs w:val="24"/>
        </w:rPr>
        <w:t>开设关于安全教育、节能减排、绿色环保、金融知识、社会责任、人口资源、海洋科学、管理等人文素养、科学素养方面的选修课程、拓展课程或专题讲座（活动），</w:t>
      </w:r>
      <w:r>
        <w:rPr>
          <w:rFonts w:hint="eastAsia" w:ascii="宋体" w:hAnsi="宋体" w:eastAsia="宋体" w:cs="Times New Roman"/>
          <w:color w:val="auto"/>
          <w:sz w:val="24"/>
          <w:szCs w:val="24"/>
        </w:rPr>
        <w:t>并将有关知识融入到专业教学内容中；还应组织开展</w:t>
      </w:r>
      <w:r>
        <w:rPr>
          <w:rFonts w:ascii="宋体" w:hAnsi="宋体" w:eastAsia="宋体" w:cs="Times New Roman"/>
          <w:color w:val="auto"/>
          <w:sz w:val="24"/>
          <w:szCs w:val="24"/>
        </w:rPr>
        <w:t>志愿服务活动</w:t>
      </w:r>
      <w:r>
        <w:rPr>
          <w:rFonts w:hint="eastAsia" w:ascii="宋体" w:hAnsi="宋体" w:eastAsia="宋体" w:cs="Times New Roman"/>
          <w:color w:val="auto"/>
          <w:sz w:val="24"/>
          <w:szCs w:val="24"/>
        </w:rPr>
        <w:t>及</w:t>
      </w:r>
      <w:r>
        <w:rPr>
          <w:rFonts w:ascii="宋体" w:hAnsi="宋体" w:eastAsia="宋体" w:cs="Times New Roman"/>
          <w:color w:val="auto"/>
          <w:sz w:val="24"/>
          <w:szCs w:val="24"/>
        </w:rPr>
        <w:t>其他</w:t>
      </w:r>
      <w:r>
        <w:rPr>
          <w:rFonts w:hint="eastAsia" w:ascii="宋体" w:hAnsi="宋体" w:eastAsia="宋体" w:cs="Times New Roman"/>
          <w:color w:val="auto"/>
          <w:sz w:val="24"/>
          <w:szCs w:val="24"/>
        </w:rPr>
        <w:t>社会</w:t>
      </w:r>
      <w:r>
        <w:rPr>
          <w:rFonts w:ascii="宋体" w:hAnsi="宋体" w:eastAsia="宋体" w:cs="Times New Roman"/>
          <w:color w:val="auto"/>
          <w:sz w:val="24"/>
          <w:szCs w:val="24"/>
        </w:rPr>
        <w:t>实践活动。</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学时安排</w:t>
      </w:r>
    </w:p>
    <w:p>
      <w:pPr>
        <w:adjustRightInd w:val="0"/>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学时安排应根据学生的认知特点和成长规律，注重各类课程学时的科学合理分配；可根据专业特点与相关行业生产特点灵活设置大小学期。</w:t>
      </w:r>
    </w:p>
    <w:p>
      <w:pPr>
        <w:adjustRightInd w:val="0"/>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三年制高职</w:t>
      </w:r>
      <w:r>
        <w:rPr>
          <w:rFonts w:hint="eastAsia" w:ascii="宋体" w:hAnsi="宋体" w:eastAsia="宋体" w:cs="Times New Roman"/>
          <w:color w:val="auto"/>
          <w:sz w:val="24"/>
          <w:szCs w:val="24"/>
        </w:rPr>
        <w:t>每学年教学时间不少于40周，</w:t>
      </w:r>
      <w:r>
        <w:rPr>
          <w:rFonts w:ascii="宋体" w:hAnsi="宋体" w:eastAsia="宋体" w:cs="Times New Roman"/>
          <w:color w:val="auto"/>
          <w:sz w:val="24"/>
          <w:szCs w:val="24"/>
        </w:rPr>
        <w:t>总学时数约为2500-2800，顶岗实习一般按每周24-30学时计算</w:t>
      </w:r>
      <w:r>
        <w:rPr>
          <w:rFonts w:hint="eastAsia" w:ascii="宋体" w:hAnsi="宋体" w:eastAsia="宋体" w:cs="Times New Roman"/>
          <w:color w:val="auto"/>
          <w:sz w:val="24"/>
          <w:szCs w:val="24"/>
        </w:rPr>
        <w:t>。</w:t>
      </w:r>
      <w:r>
        <w:rPr>
          <w:rFonts w:ascii="宋体" w:hAnsi="宋体" w:eastAsia="宋体" w:cs="Times New Roman"/>
          <w:color w:val="auto"/>
          <w:sz w:val="24"/>
          <w:szCs w:val="24"/>
        </w:rPr>
        <w:t>学分与学时的换算</w:t>
      </w:r>
      <w:r>
        <w:rPr>
          <w:rFonts w:hint="eastAsia" w:ascii="宋体" w:hAnsi="宋体" w:eastAsia="宋体" w:cs="Times New Roman"/>
          <w:color w:val="auto"/>
          <w:sz w:val="24"/>
          <w:szCs w:val="24"/>
        </w:rPr>
        <w:t>。</w:t>
      </w:r>
      <w:r>
        <w:rPr>
          <w:rFonts w:ascii="宋体" w:hAnsi="宋体" w:eastAsia="宋体" w:cs="Times New Roman"/>
          <w:color w:val="auto"/>
          <w:sz w:val="24"/>
          <w:szCs w:val="24"/>
        </w:rPr>
        <w:t>一般18学时计为1个学分，三年制高职总学分一般不少于140学分。军训、入学教育、社会实践、毕业设计（或毕业论文、毕业教育）等，以1周为1学分。</w:t>
      </w:r>
    </w:p>
    <w:p>
      <w:pPr>
        <w:adjustRightInd w:val="0"/>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公共基础课程学时</w:t>
      </w:r>
      <w:r>
        <w:rPr>
          <w:rFonts w:hint="eastAsia" w:ascii="宋体" w:hAnsi="宋体" w:eastAsia="宋体" w:cs="Times New Roman"/>
          <w:color w:val="auto"/>
          <w:sz w:val="24"/>
          <w:szCs w:val="24"/>
        </w:rPr>
        <w:t>应</w:t>
      </w:r>
      <w:r>
        <w:rPr>
          <w:rFonts w:ascii="宋体" w:hAnsi="宋体" w:eastAsia="宋体" w:cs="Times New Roman"/>
          <w:color w:val="auto"/>
          <w:sz w:val="24"/>
          <w:szCs w:val="24"/>
        </w:rPr>
        <w:t>不少于总学时的25%。必须保证学生修完公共基础必修课程的内容和总学时数。选修课教学时数占总学时的比例</w:t>
      </w:r>
      <w:r>
        <w:rPr>
          <w:rFonts w:hint="eastAsia" w:ascii="宋体" w:hAnsi="宋体" w:eastAsia="宋体" w:cs="Times New Roman"/>
          <w:color w:val="auto"/>
          <w:sz w:val="24"/>
          <w:szCs w:val="24"/>
        </w:rPr>
        <w:t>均</w:t>
      </w:r>
      <w:r>
        <w:rPr>
          <w:rFonts w:ascii="宋体" w:hAnsi="宋体" w:eastAsia="宋体" w:cs="Times New Roman"/>
          <w:color w:val="auto"/>
          <w:sz w:val="24"/>
          <w:szCs w:val="24"/>
        </w:rPr>
        <w:t>应不少于10%。</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教学进程总体安排</w:t>
      </w:r>
    </w:p>
    <w:p>
      <w:pPr>
        <w:adjustRightInd w:val="0"/>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教学进程总体安排是对本专业技术技能人才培养、教育教学实施进程的总体安排，是专业人才培养模式的具体体现，学校应尊重学生的学习规律，科学构建课程体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，注重公共基础课程与专业课程的衔接，优化课程安排次序，明确学期周数分配，</w:t>
      </w:r>
      <w:r>
        <w:rPr>
          <w:rFonts w:ascii="宋体" w:hAnsi="宋体" w:eastAsia="宋体" w:cs="Times New Roman"/>
          <w:color w:val="auto"/>
          <w:sz w:val="24"/>
          <w:szCs w:val="24"/>
        </w:rPr>
        <w:t>科学编制教学进程安排表。</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实施保障</w:t>
      </w:r>
    </w:p>
    <w:p>
      <w:pPr>
        <w:adjustRightInd w:val="0"/>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主要包括师资队伍、教学设施、教学资源、教学方法、教学评价、质量管理等方面，应满足培养目标、人才规格的要求，应该满足教学安排的需要，应该满足学生的多样学习需求，应该积极吸收行业企业参与。</w:t>
      </w:r>
    </w:p>
    <w:p>
      <w:pPr>
        <w:widowControl w:val="0"/>
        <w:numPr>
          <w:ilvl w:val="0"/>
          <w:numId w:val="28"/>
        </w:numPr>
        <w:adjustRightInd w:val="0"/>
        <w:spacing w:line="360" w:lineRule="auto"/>
        <w:ind w:left="900"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师资队伍</w:t>
      </w:r>
    </w:p>
    <w:p>
      <w:pPr>
        <w:spacing w:line="360" w:lineRule="auto"/>
        <w:ind w:left="480"/>
        <w:rPr>
          <w:rFonts w:ascii="宋体" w:hAnsi="宋体" w:eastAsia="宋体" w:cs="Times New Roman"/>
          <w:color w:val="auto"/>
          <w:sz w:val="24"/>
          <w:szCs w:val="24"/>
        </w:rPr>
      </w:pPr>
      <w:r>
        <w:rPr>
          <w:rFonts w:hint="eastAsia" w:ascii="宋体" w:hAnsi="宋体" w:eastAsia="宋体" w:cs="Times New Roman"/>
          <w:color w:val="auto"/>
          <w:sz w:val="24"/>
          <w:szCs w:val="24"/>
        </w:rPr>
        <w:t>包括专任</w:t>
      </w:r>
      <w:r>
        <w:rPr>
          <w:rFonts w:ascii="宋体" w:hAnsi="宋体" w:eastAsia="宋体" w:cs="Times New Roman"/>
          <w:color w:val="auto"/>
          <w:sz w:val="24"/>
          <w:szCs w:val="24"/>
        </w:rPr>
        <w:t>教师和兼职教师</w:t>
      </w:r>
      <w:r>
        <w:rPr>
          <w:rFonts w:hint="eastAsia" w:ascii="宋体" w:hAnsi="宋体" w:eastAsia="宋体" w:cs="Times New Roman"/>
          <w:color w:val="auto"/>
          <w:sz w:val="24"/>
          <w:szCs w:val="24"/>
        </w:rPr>
        <w:t>。各</w:t>
      </w:r>
      <w:r>
        <w:rPr>
          <w:rFonts w:ascii="宋体" w:hAnsi="宋体" w:eastAsia="宋体" w:cs="Times New Roman"/>
          <w:color w:val="auto"/>
          <w:sz w:val="24"/>
          <w:szCs w:val="24"/>
        </w:rPr>
        <w:t>专业在校生与该专业的专任教师之比不高于25:1（不含公共课）。带头人原则上应具有高级职称。</w:t>
      </w:r>
      <w:r>
        <w:rPr>
          <w:rFonts w:hint="eastAsia" w:ascii="宋体" w:hAnsi="宋体" w:eastAsia="宋体" w:cs="Times New Roman"/>
          <w:color w:val="auto"/>
          <w:sz w:val="24"/>
          <w:szCs w:val="24"/>
        </w:rPr>
        <w:t>“</w:t>
      </w:r>
      <w:r>
        <w:rPr>
          <w:rFonts w:ascii="宋体" w:hAnsi="宋体" w:eastAsia="宋体" w:cs="Times New Roman"/>
          <w:color w:val="auto"/>
          <w:sz w:val="24"/>
          <w:szCs w:val="24"/>
        </w:rPr>
        <w:t>双师型</w:t>
      </w:r>
      <w:r>
        <w:rPr>
          <w:rFonts w:hint="eastAsia" w:ascii="宋体" w:hAnsi="宋体" w:eastAsia="宋体" w:cs="Times New Roman"/>
          <w:color w:val="auto"/>
          <w:sz w:val="24"/>
          <w:szCs w:val="24"/>
        </w:rPr>
        <w:t>”</w:t>
      </w:r>
      <w:r>
        <w:rPr>
          <w:rFonts w:ascii="宋体" w:hAnsi="宋体" w:eastAsia="宋体" w:cs="Times New Roman"/>
          <w:color w:val="auto"/>
          <w:sz w:val="24"/>
          <w:szCs w:val="24"/>
        </w:rPr>
        <w:t>教师一般不低于60%。兼职教师应主要来自于行业企业。</w:t>
      </w:r>
    </w:p>
    <w:p>
      <w:pPr>
        <w:widowControl w:val="0"/>
        <w:numPr>
          <w:ilvl w:val="0"/>
          <w:numId w:val="28"/>
        </w:numPr>
        <w:adjustRightInd w:val="0"/>
        <w:spacing w:line="360" w:lineRule="auto"/>
        <w:ind w:left="900" w:hanging="420" w:firstLineChars="0"/>
        <w:jc w:val="both"/>
        <w:rPr>
          <w:rFonts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教学设施</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必要的校内基础课教学实验（实训）室和教学设备的基本要求；校内实训基地的基本要求（含职业技能鉴定要求）；校外实训基地的基本要求（满足专业实践教学和技能训练要求，满足学生顶岗实训半年以上的实训基地）；信息网络教学条件。</w:t>
      </w:r>
    </w:p>
    <w:p>
      <w:pPr>
        <w:widowControl w:val="0"/>
        <w:numPr>
          <w:ilvl w:val="0"/>
          <w:numId w:val="28"/>
        </w:numPr>
        <w:adjustRightInd w:val="0"/>
        <w:spacing w:line="360" w:lineRule="auto"/>
        <w:ind w:left="900" w:hanging="420" w:firstLineChars="0"/>
        <w:jc w:val="both"/>
        <w:rPr>
          <w:rFonts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教学资源</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建议：侧重有利于学生自主学习，内容丰富、使用便捷、更新及时的数字化专业学习资源要求。</w:t>
      </w:r>
    </w:p>
    <w:p>
      <w:pPr>
        <w:widowControl w:val="0"/>
        <w:numPr>
          <w:ilvl w:val="0"/>
          <w:numId w:val="28"/>
        </w:numPr>
        <w:adjustRightInd w:val="0"/>
        <w:spacing w:line="360" w:lineRule="auto"/>
        <w:ind w:left="900" w:hanging="420" w:firstLineChars="0"/>
        <w:jc w:val="both"/>
        <w:rPr>
          <w:rFonts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教学方法</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建议：“以学生为中心”，根据学生特点，激发学生学习兴趣；实行任务驱动、项目导向等多种形式的“做中学、做中教”教学模式。</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公共基础课教学要符合教育部有关教育教学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专业课按照相应职业岗位（群）的能力要求，强化理论实践一体化，突出“做中学、做中教”的职业教育教学特色，提倡项目教学、案例教学、任务教学、角色扮演、情境教学等方法，利用校内外实训基地，将学生的自主学习、合作学习和教师引导教学等教学组织形式有机结合。提倡数字化资源、仿真资源等教学资源的开发与利用。</w:t>
      </w:r>
    </w:p>
    <w:p>
      <w:pPr>
        <w:widowControl w:val="0"/>
        <w:numPr>
          <w:ilvl w:val="0"/>
          <w:numId w:val="28"/>
        </w:numPr>
        <w:adjustRightInd w:val="0"/>
        <w:spacing w:line="360" w:lineRule="auto"/>
        <w:ind w:left="900" w:hanging="420" w:firstLineChars="0"/>
        <w:jc w:val="both"/>
        <w:rPr>
          <w:rFonts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教学评价</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建议：突出能力的考核评价方式，体现对综合素质的评价；吸纳更多行业企业和社会有关方面组织参与考核评价。</w:t>
      </w:r>
    </w:p>
    <w:p>
      <w:pPr>
        <w:widowControl w:val="0"/>
        <w:numPr>
          <w:ilvl w:val="0"/>
          <w:numId w:val="28"/>
        </w:numPr>
        <w:adjustRightInd w:val="0"/>
        <w:spacing w:line="360" w:lineRule="auto"/>
        <w:ind w:left="900" w:hanging="420" w:firstLineChars="0"/>
        <w:jc w:val="both"/>
        <w:rPr>
          <w:rFonts w:ascii="宋体" w:hAnsi="宋体" w:eastAsia="宋体" w:cs="Times New Roman"/>
          <w:b/>
          <w:color w:val="auto"/>
          <w:kern w:val="2"/>
          <w:sz w:val="24"/>
          <w:szCs w:val="24"/>
          <w:lang w:val="en-US" w:eastAsia="zh-CN" w:bidi="ar-SA"/>
        </w:rPr>
      </w:pPr>
      <w:r>
        <w:rPr>
          <w:rFonts w:hint="eastAsia" w:ascii="宋体" w:hAnsi="宋体" w:eastAsia="宋体" w:cs="Times New Roman"/>
          <w:b/>
          <w:color w:val="auto"/>
          <w:kern w:val="2"/>
          <w:sz w:val="24"/>
          <w:szCs w:val="24"/>
          <w:lang w:val="en-US" w:eastAsia="zh-CN" w:bidi="ar-SA"/>
        </w:rPr>
        <w:t>质量管理</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建议：针对不同生源特点制订教学管理重点与模式。</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建立健全</w:t>
      </w:r>
      <w:r>
        <w:rPr>
          <w:rFonts w:ascii="宋体" w:hAnsi="宋体" w:eastAsia="宋体" w:cs="Times New Roman"/>
          <w:color w:val="auto"/>
          <w:sz w:val="24"/>
          <w:szCs w:val="24"/>
        </w:rPr>
        <w:t>校院</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w:t>
      </w:r>
      <w:r>
        <w:rPr>
          <w:rFonts w:ascii="宋体" w:hAnsi="宋体" w:eastAsia="宋体" w:cs="Times New Roman"/>
          <w:color w:val="auto"/>
          <w:sz w:val="24"/>
          <w:szCs w:val="24"/>
        </w:rPr>
        <w:t>两级的</w:t>
      </w:r>
      <w:r>
        <w:rPr>
          <w:rFonts w:hint="eastAsia" w:ascii="宋体" w:hAnsi="宋体" w:eastAsia="宋体" w:cs="Times New Roman"/>
          <w:color w:val="auto"/>
          <w:sz w:val="24"/>
          <w:szCs w:val="24"/>
        </w:rPr>
        <w:t>质量保障体</w:t>
      </w:r>
      <w:r>
        <w:rPr>
          <w:rFonts w:hint="eastAsia" w:ascii="宋体" w:hAnsi="宋体" w:eastAsia="宋体" w:cs="Times New Roman"/>
          <w:color w:val="auto"/>
          <w:sz w:val="24"/>
          <w:szCs w:val="24"/>
          <w:lang w:eastAsia="zh-CN"/>
        </w:rPr>
        <w:t>二级学院</w:t>
      </w:r>
      <w:r>
        <w:rPr>
          <w:rFonts w:ascii="宋体" w:hAnsi="宋体" w:eastAsia="宋体" w:cs="Times New Roman"/>
          <w:color w:val="auto"/>
          <w:sz w:val="24"/>
          <w:szCs w:val="24"/>
        </w:rPr>
        <w:t>。</w:t>
      </w:r>
      <w:r>
        <w:rPr>
          <w:rFonts w:hint="eastAsia" w:ascii="宋体" w:hAnsi="宋体" w:eastAsia="宋体" w:cs="Times New Roman"/>
          <w:color w:val="auto"/>
          <w:sz w:val="24"/>
          <w:szCs w:val="24"/>
        </w:rPr>
        <w:t>更新观念，改变传统的教学管理方式，教学管理要有一定的规范性和灵活性，合理调配教师、实训室和实训场地等教学资源，为课程的实施创造条件；要加强对教学过程的质量监控，改革教学评价的标准和方法，促进教师教学能力的提升，保证教学质量。</w:t>
      </w:r>
    </w:p>
    <w:p>
      <w:pPr>
        <w:widowControl w:val="0"/>
        <w:numPr>
          <w:ilvl w:val="0"/>
          <w:numId w:val="27"/>
        </w:numPr>
        <w:spacing w:line="360" w:lineRule="auto"/>
        <w:ind w:left="982" w:hanging="420" w:firstLineChars="0"/>
        <w:jc w:val="both"/>
        <w:rPr>
          <w:rFonts w:ascii="宋体" w:hAnsi="宋体" w:eastAsia="宋体" w:cs="Times New Roman"/>
          <w:b/>
          <w:color w:val="auto"/>
          <w:kern w:val="2"/>
          <w:sz w:val="24"/>
          <w:szCs w:val="24"/>
          <w:lang w:val="en-US" w:eastAsia="zh-CN" w:bidi="ar-SA"/>
        </w:rPr>
      </w:pPr>
      <w:r>
        <w:rPr>
          <w:rFonts w:ascii="宋体" w:hAnsi="宋体" w:eastAsia="宋体" w:cs="Times New Roman"/>
          <w:b/>
          <w:color w:val="auto"/>
          <w:kern w:val="2"/>
          <w:sz w:val="24"/>
          <w:szCs w:val="24"/>
          <w:lang w:val="en-US" w:eastAsia="zh-CN" w:bidi="ar-SA"/>
        </w:rPr>
        <w:t>毕业要求</w:t>
      </w:r>
    </w:p>
    <w:p>
      <w:pPr>
        <w:adjustRightInd w:val="0"/>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毕业要求是学生通过规定年限的学习，修满专业人才培养方案所规定的学分，达到本专业人才培养目标和培养规格的要求。鼓励应运用大数据等信息化手段记录、分析</w:t>
      </w:r>
      <w:r>
        <w:rPr>
          <w:rFonts w:ascii="宋体" w:hAnsi="宋体" w:eastAsia="宋体" w:cs="Times New Roman"/>
          <w:color w:val="auto"/>
          <w:sz w:val="24"/>
          <w:szCs w:val="24"/>
        </w:rPr>
        <w:t>学生成长记录档案</w:t>
      </w:r>
      <w:r>
        <w:rPr>
          <w:rFonts w:hint="eastAsia" w:ascii="宋体" w:hAnsi="宋体" w:eastAsia="宋体" w:cs="Times New Roman"/>
          <w:color w:val="auto"/>
          <w:sz w:val="24"/>
          <w:szCs w:val="24"/>
        </w:rPr>
        <w:t>、职业素养达标</w:t>
      </w:r>
      <w:r>
        <w:rPr>
          <w:rFonts w:ascii="宋体" w:hAnsi="宋体" w:eastAsia="宋体" w:cs="Times New Roman"/>
          <w:color w:val="auto"/>
          <w:sz w:val="24"/>
          <w:szCs w:val="24"/>
        </w:rPr>
        <w:t>等方面</w:t>
      </w:r>
      <w:r>
        <w:rPr>
          <w:rFonts w:hint="eastAsia" w:ascii="宋体" w:hAnsi="宋体" w:eastAsia="宋体" w:cs="Times New Roman"/>
          <w:color w:val="auto"/>
          <w:sz w:val="24"/>
          <w:szCs w:val="24"/>
        </w:rPr>
        <w:t>的内容</w:t>
      </w:r>
      <w:r>
        <w:rPr>
          <w:rFonts w:ascii="宋体" w:hAnsi="宋体" w:eastAsia="宋体" w:cs="Times New Roman"/>
          <w:color w:val="auto"/>
          <w:sz w:val="24"/>
          <w:szCs w:val="24"/>
        </w:rPr>
        <w:t>，纳入综合素质</w:t>
      </w:r>
      <w:r>
        <w:rPr>
          <w:rFonts w:hint="eastAsia" w:ascii="宋体" w:hAnsi="宋体" w:eastAsia="宋体" w:cs="Times New Roman"/>
          <w:color w:val="auto"/>
          <w:sz w:val="24"/>
          <w:szCs w:val="24"/>
        </w:rPr>
        <w:t>考核</w:t>
      </w:r>
      <w:r>
        <w:rPr>
          <w:rFonts w:ascii="宋体" w:hAnsi="宋体" w:eastAsia="宋体" w:cs="Times New Roman"/>
          <w:color w:val="auto"/>
          <w:sz w:val="24"/>
          <w:szCs w:val="24"/>
        </w:rPr>
        <w:t>，</w:t>
      </w:r>
      <w:r>
        <w:rPr>
          <w:rFonts w:hint="eastAsia" w:ascii="宋体" w:hAnsi="宋体" w:eastAsia="宋体" w:cs="Times New Roman"/>
          <w:color w:val="auto"/>
          <w:sz w:val="24"/>
          <w:szCs w:val="24"/>
        </w:rPr>
        <w:t>并</w:t>
      </w:r>
      <w:r>
        <w:rPr>
          <w:rFonts w:ascii="宋体" w:hAnsi="宋体" w:eastAsia="宋体" w:cs="Times New Roman"/>
          <w:color w:val="auto"/>
          <w:sz w:val="24"/>
          <w:szCs w:val="24"/>
        </w:rPr>
        <w:t>将考核情况作为是否准予毕业的重要</w:t>
      </w:r>
      <w:r>
        <w:rPr>
          <w:rFonts w:hint="eastAsia" w:ascii="宋体" w:hAnsi="宋体" w:eastAsia="宋体" w:cs="Times New Roman"/>
          <w:color w:val="auto"/>
          <w:sz w:val="24"/>
          <w:szCs w:val="24"/>
        </w:rPr>
        <w:t>依据</w:t>
      </w:r>
      <w:r>
        <w:rPr>
          <w:rFonts w:ascii="宋体" w:hAnsi="宋体" w:eastAsia="宋体" w:cs="Times New Roman"/>
          <w:color w:val="auto"/>
          <w:sz w:val="24"/>
          <w:szCs w:val="24"/>
        </w:rPr>
        <w:t>。</w:t>
      </w:r>
    </w:p>
    <w:p>
      <w:pPr>
        <w:widowControl/>
        <w:jc w:val="left"/>
        <w:rPr>
          <w:rFonts w:ascii="宋体" w:hAnsi="宋体" w:eastAsia="宋体" w:cs="Times New Roman"/>
          <w:color w:val="auto"/>
          <w:sz w:val="24"/>
          <w:szCs w:val="24"/>
        </w:rPr>
      </w:pPr>
      <w:r>
        <w:rPr>
          <w:rFonts w:ascii="宋体" w:hAnsi="宋体" w:eastAsia="宋体" w:cs="Times New Roman"/>
          <w:color w:val="auto"/>
          <w:sz w:val="24"/>
          <w:szCs w:val="24"/>
        </w:rPr>
        <w:br w:type="page"/>
      </w:r>
    </w:p>
    <w:p>
      <w:pPr>
        <w:pStyle w:val="3"/>
        <w:bidi w:val="0"/>
        <w:jc w:val="center"/>
        <w:rPr>
          <w:color w:val="auto"/>
        </w:rPr>
      </w:pPr>
      <w:bookmarkStart w:id="28" w:name="_Toc10780"/>
      <w:r>
        <w:rPr>
          <w:rFonts w:hint="eastAsia"/>
          <w:color w:val="auto"/>
        </w:rPr>
        <w:t>制（修）</w:t>
      </w:r>
      <w:r>
        <w:rPr>
          <w:color w:val="auto"/>
        </w:rPr>
        <w:t xml:space="preserve"> </w:t>
      </w:r>
      <w:r>
        <w:rPr>
          <w:rFonts w:hint="eastAsia"/>
          <w:color w:val="auto"/>
        </w:rPr>
        <w:t>订</w:t>
      </w:r>
      <w:r>
        <w:rPr>
          <w:rFonts w:hint="eastAsia"/>
          <w:color w:val="auto"/>
          <w:lang w:eastAsia="zh-CN"/>
        </w:rPr>
        <w:t xml:space="preserve"> 课程标准</w:t>
      </w:r>
      <w:r>
        <w:rPr>
          <w:rFonts w:hint="eastAsia"/>
          <w:color w:val="auto"/>
        </w:rPr>
        <w:t>的指导性意见</w:t>
      </w:r>
      <w:bookmarkEnd w:id="28"/>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是执行课程计划，实现人才培养目标要求的基本教学文件，是教材选用与编写、组织教学、实施课程教学评估、进行考试命题和教学管理的主要依据。应规定学生在知识、技能、方法、能力、情感态度与价值观等方面所应达到的基本要求，规定课程的性质、目标、内容框架，并提出教学和评价建议。为了保证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的质量，加强课程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的管理工作，特制订本规定。</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一、制订（修订）课程</w:t>
      </w:r>
      <w:r>
        <w:rPr>
          <w:rFonts w:hint="eastAsia" w:ascii="宋体" w:hAnsi="宋体" w:eastAsia="宋体" w:cs="Times New Roman"/>
          <w:b/>
          <w:color w:val="auto"/>
          <w:sz w:val="24"/>
          <w:szCs w:val="24"/>
          <w:lang w:eastAsia="zh-CN"/>
        </w:rPr>
        <w:t xml:space="preserve"> 课程标准</w:t>
      </w:r>
      <w:r>
        <w:rPr>
          <w:rFonts w:hint="eastAsia" w:ascii="宋体" w:hAnsi="宋体" w:eastAsia="宋体" w:cs="Times New Roman"/>
          <w:b/>
          <w:color w:val="auto"/>
          <w:sz w:val="24"/>
          <w:szCs w:val="24"/>
        </w:rPr>
        <w:t>的原则</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符合专业人才培养目标的要求，体现课程在实现人才培养目标中的地位与作用。</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要体现本课程在课程体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中应处的位置，注意与先修和后续相关课程之间的分工和衔接，防止疏漏和不必要的重复。</w:t>
      </w:r>
    </w:p>
    <w:p>
      <w:pPr>
        <w:tabs>
          <w:tab w:val="left" w:pos="880"/>
        </w:tabs>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努力达到科学性、先进性和实践性的统一。</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要准确体现本学科的基本内容、内在规律和独特的研究方法，反映最新研究成果；要把近年来教学改革的成果固化到新</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中，体现教学改革的精神；应能指导教师遵循教育规律向学生传授合理的知识，给教师一定的灵活性，鼓励教师在保证课程基本要求的前提下，发挥自身特长，教出特色。</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要贯彻理论联</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实际的原则，除规定理论教学及讲授环节外，还应对习题、实验（上机）、讨论、课程设计、教学实习等实践性教学环节有相应的要求，并规定在课程学时中的恰当比例。</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符合学生实际，体现因材施教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对教学的基本要求，以中等程度的学生通过正常努力可以达到的限度为准，同时根据学生的基础和能力不同，明确教学的基本内容、选修内容（提高内容）及其不同要求，以利于因材施教。</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w:t>
      </w:r>
      <w:r>
        <w:rPr>
          <w:rFonts w:hint="eastAsia" w:ascii="宋体" w:hAnsi="宋体" w:eastAsia="宋体" w:cs="Times New Roman"/>
          <w:b/>
          <w:color w:val="auto"/>
          <w:sz w:val="24"/>
          <w:szCs w:val="24"/>
          <w:lang w:eastAsia="zh-CN"/>
        </w:rPr>
        <w:t xml:space="preserve"> 课程标准</w:t>
      </w:r>
      <w:r>
        <w:rPr>
          <w:rFonts w:hint="eastAsia" w:ascii="宋体" w:hAnsi="宋体" w:eastAsia="宋体" w:cs="Times New Roman"/>
          <w:b/>
          <w:color w:val="auto"/>
          <w:sz w:val="24"/>
          <w:szCs w:val="24"/>
        </w:rPr>
        <w:t>的结构和要求</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w:t>
      </w:r>
      <w:r>
        <w:rPr>
          <w:rFonts w:hint="eastAsia" w:ascii="宋体" w:hAnsi="宋体" w:eastAsia="宋体" w:cs="Times New Roman"/>
          <w:b/>
          <w:color w:val="auto"/>
          <w:sz w:val="24"/>
          <w:szCs w:val="24"/>
          <w:lang w:eastAsia="zh-CN"/>
        </w:rPr>
        <w:t xml:space="preserve"> 课程标准</w:t>
      </w:r>
      <w:r>
        <w:rPr>
          <w:rFonts w:hint="eastAsia" w:ascii="宋体" w:hAnsi="宋体" w:eastAsia="宋体" w:cs="Times New Roman"/>
          <w:b/>
          <w:color w:val="auto"/>
          <w:sz w:val="24"/>
          <w:szCs w:val="24"/>
        </w:rPr>
        <w:t>的结构</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一般应包括以下几个部分：</w:t>
      </w:r>
    </w:p>
    <w:p>
      <w:pPr>
        <w:spacing w:line="360" w:lineRule="auto"/>
        <w:ind w:firstLine="482" w:firstLineChars="200"/>
        <w:rPr>
          <w:rFonts w:ascii="宋体" w:hAnsi="Calibri" w:eastAsia="宋体" w:cs="Times New Roman"/>
          <w:color w:val="auto"/>
          <w:sz w:val="24"/>
          <w:szCs w:val="24"/>
        </w:rPr>
      </w:pPr>
      <w:r>
        <w:rPr>
          <w:rFonts w:ascii="宋体" w:hAnsi="宋体" w:eastAsia="宋体" w:cs="Times New Roman"/>
          <w:b/>
          <w:color w:val="auto"/>
          <w:sz w:val="24"/>
          <w:szCs w:val="24"/>
        </w:rPr>
        <w:t>1.</w:t>
      </w:r>
      <w:r>
        <w:rPr>
          <w:rFonts w:hint="eastAsia" w:ascii="宋体" w:hAnsi="宋体" w:eastAsia="宋体" w:cs="Times New Roman"/>
          <w:b/>
          <w:color w:val="auto"/>
          <w:sz w:val="24"/>
          <w:szCs w:val="24"/>
        </w:rPr>
        <w:t>说明部分：</w:t>
      </w:r>
      <w:r>
        <w:rPr>
          <w:rFonts w:hint="eastAsia" w:ascii="宋体" w:hAnsi="宋体" w:eastAsia="宋体" w:cs="Times New Roman"/>
          <w:color w:val="auto"/>
          <w:sz w:val="24"/>
          <w:szCs w:val="24"/>
        </w:rPr>
        <w:t>概述本课程的课程性质、课程目的、主要教学内容与基本要求、重难点，教学进度安排、运用教学方法的原则性建议等。</w:t>
      </w:r>
    </w:p>
    <w:p>
      <w:pPr>
        <w:widowControl w:val="0"/>
        <w:numPr>
          <w:ilvl w:val="4"/>
          <w:numId w:val="29"/>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课程性质：说明本课程的性质、对实现培养目标所起的作用以及与其它先修课程、后续课程的关系。</w:t>
      </w:r>
    </w:p>
    <w:p>
      <w:pPr>
        <w:widowControl w:val="0"/>
        <w:numPr>
          <w:ilvl w:val="4"/>
          <w:numId w:val="29"/>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课程目的：从宏观角度说明通过本课程的学习，学生在知识、技能、能力、情感态度与价值观方面所应达到的目标。</w:t>
      </w:r>
    </w:p>
    <w:p>
      <w:pPr>
        <w:widowControl w:val="0"/>
        <w:numPr>
          <w:ilvl w:val="4"/>
          <w:numId w:val="29"/>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课程内容与基本要求：从宏观角度介绍本课程的主要教学内容，提出基本要求，并对选讲内容做出说明。</w:t>
      </w:r>
    </w:p>
    <w:p>
      <w:pPr>
        <w:widowControl w:val="0"/>
        <w:numPr>
          <w:ilvl w:val="4"/>
          <w:numId w:val="29"/>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教学时数分配：规定本课程的教学总时数（含课堂教学时数、实验时数、实习时数及其它各类实践教学活动的时数）及其在各章的分配。总学时必须与教学计划规定的学时数完全一致。</w:t>
      </w:r>
    </w:p>
    <w:p>
      <w:pPr>
        <w:widowControl w:val="0"/>
        <w:numPr>
          <w:ilvl w:val="4"/>
          <w:numId w:val="29"/>
        </w:numPr>
        <w:spacing w:line="360" w:lineRule="auto"/>
        <w:ind w:left="0" w:firstLine="200" w:firstLineChars="0"/>
        <w:jc w:val="both"/>
        <w:rPr>
          <w:rFonts w:ascii="宋体" w:hAnsi="Calibri"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教学方式：对本课程所采取的各种教学方式给出指导性建议。</w:t>
      </w:r>
    </w:p>
    <w:p>
      <w:pPr>
        <w:spacing w:line="360" w:lineRule="auto"/>
        <w:ind w:firstLine="482" w:firstLineChars="200"/>
        <w:rPr>
          <w:rFonts w:ascii="宋体" w:hAnsi="Calibri" w:eastAsia="宋体" w:cs="Times New Roman"/>
          <w:color w:val="auto"/>
          <w:sz w:val="24"/>
          <w:szCs w:val="24"/>
        </w:rPr>
      </w:pPr>
      <w:r>
        <w:rPr>
          <w:rFonts w:ascii="宋体" w:hAnsi="宋体" w:eastAsia="宋体" w:cs="Times New Roman"/>
          <w:b/>
          <w:color w:val="auto"/>
          <w:sz w:val="24"/>
          <w:szCs w:val="24"/>
        </w:rPr>
        <w:t>2.</w:t>
      </w:r>
      <w:r>
        <w:rPr>
          <w:rFonts w:hint="eastAsia" w:ascii="宋体" w:hAnsi="宋体" w:eastAsia="宋体" w:cs="Times New Roman"/>
          <w:b/>
          <w:color w:val="auto"/>
          <w:sz w:val="24"/>
          <w:szCs w:val="24"/>
        </w:rPr>
        <w:t>正文部分：</w:t>
      </w:r>
      <w:r>
        <w:rPr>
          <w:rFonts w:hint="eastAsia" w:ascii="宋体" w:hAnsi="宋体" w:eastAsia="宋体" w:cs="Times New Roman"/>
          <w:color w:val="auto"/>
          <w:sz w:val="24"/>
          <w:szCs w:val="24"/>
        </w:rPr>
        <w:t>规定教学内容要点与要求、时数。学生对每章知识点应当达到的掌握程度，必须分不同层次给出明确的要求，如：了解、理解，区分、区别，掌握、熟练掌握，应用、熟练应用等层次。</w:t>
      </w:r>
    </w:p>
    <w:p>
      <w:pPr>
        <w:spacing w:line="360" w:lineRule="auto"/>
        <w:ind w:firstLine="482" w:firstLineChars="200"/>
        <w:rPr>
          <w:rFonts w:ascii="宋体" w:hAnsi="Calibri" w:eastAsia="宋体" w:cs="Times New Roman"/>
          <w:color w:val="auto"/>
          <w:sz w:val="24"/>
          <w:szCs w:val="24"/>
        </w:rPr>
      </w:pPr>
      <w:r>
        <w:rPr>
          <w:rFonts w:ascii="宋体" w:hAnsi="宋体" w:eastAsia="宋体" w:cs="Times New Roman"/>
          <w:b/>
          <w:color w:val="auto"/>
          <w:sz w:val="24"/>
          <w:szCs w:val="24"/>
        </w:rPr>
        <w:t>3.</w:t>
      </w:r>
      <w:r>
        <w:rPr>
          <w:rFonts w:hint="eastAsia" w:ascii="宋体" w:hAnsi="宋体" w:eastAsia="宋体" w:cs="Times New Roman"/>
          <w:b/>
          <w:color w:val="auto"/>
          <w:sz w:val="24"/>
          <w:szCs w:val="24"/>
        </w:rPr>
        <w:t>考核方式与要求</w:t>
      </w:r>
      <w:r>
        <w:rPr>
          <w:rFonts w:hint="eastAsia" w:ascii="宋体" w:hAnsi="宋体" w:eastAsia="宋体" w:cs="Times New Roman"/>
          <w:color w:val="auto"/>
          <w:sz w:val="24"/>
          <w:szCs w:val="24"/>
        </w:rPr>
        <w:t>。</w:t>
      </w:r>
    </w:p>
    <w:p>
      <w:pPr>
        <w:spacing w:line="360" w:lineRule="auto"/>
        <w:ind w:firstLine="482" w:firstLineChars="200"/>
        <w:rPr>
          <w:rFonts w:ascii="宋体" w:hAnsi="Calibri" w:eastAsia="宋体" w:cs="Times New Roman"/>
          <w:color w:val="auto"/>
          <w:sz w:val="24"/>
          <w:szCs w:val="24"/>
        </w:rPr>
      </w:pPr>
      <w:r>
        <w:rPr>
          <w:rFonts w:ascii="宋体" w:hAnsi="宋体" w:eastAsia="宋体" w:cs="Times New Roman"/>
          <w:b/>
          <w:color w:val="auto"/>
          <w:sz w:val="24"/>
          <w:szCs w:val="24"/>
        </w:rPr>
        <w:t>4.</w:t>
      </w:r>
      <w:r>
        <w:rPr>
          <w:rFonts w:hint="eastAsia" w:ascii="宋体" w:hAnsi="宋体" w:eastAsia="宋体" w:cs="Times New Roman"/>
          <w:b/>
          <w:color w:val="auto"/>
          <w:sz w:val="24"/>
          <w:szCs w:val="24"/>
        </w:rPr>
        <w:t>课程实践环节及基本要求：</w:t>
      </w:r>
      <w:r>
        <w:rPr>
          <w:rFonts w:hint="eastAsia" w:ascii="宋体" w:hAnsi="宋体" w:eastAsia="宋体" w:cs="Times New Roman"/>
          <w:color w:val="auto"/>
          <w:sz w:val="24"/>
          <w:szCs w:val="24"/>
        </w:rPr>
        <w:t>包括实验（上机）、实习、课程设计等各种实践环节的内容要求和时数。</w:t>
      </w:r>
    </w:p>
    <w:p>
      <w:pPr>
        <w:spacing w:line="360" w:lineRule="auto"/>
        <w:ind w:firstLine="482" w:firstLineChars="200"/>
        <w:rPr>
          <w:rFonts w:ascii="宋体" w:hAnsi="Calibri" w:eastAsia="宋体" w:cs="Times New Roman"/>
          <w:color w:val="auto"/>
          <w:sz w:val="24"/>
          <w:szCs w:val="24"/>
        </w:rPr>
      </w:pPr>
      <w:r>
        <w:rPr>
          <w:rFonts w:ascii="宋体" w:hAnsi="宋体" w:eastAsia="宋体" w:cs="Times New Roman"/>
          <w:b/>
          <w:color w:val="auto"/>
          <w:sz w:val="24"/>
          <w:szCs w:val="24"/>
        </w:rPr>
        <w:t>5.</w:t>
      </w:r>
      <w:r>
        <w:rPr>
          <w:rFonts w:hint="eastAsia" w:ascii="宋体" w:hAnsi="宋体" w:eastAsia="宋体" w:cs="Times New Roman"/>
          <w:b/>
          <w:color w:val="auto"/>
          <w:sz w:val="24"/>
          <w:szCs w:val="24"/>
        </w:rPr>
        <w:t>教材与参考书：</w:t>
      </w:r>
      <w:r>
        <w:rPr>
          <w:rFonts w:hint="eastAsia" w:ascii="宋体" w:hAnsi="宋体" w:eastAsia="宋体" w:cs="Times New Roman"/>
          <w:color w:val="auto"/>
          <w:sz w:val="24"/>
          <w:szCs w:val="24"/>
        </w:rPr>
        <w:t>主要课程要求选用优秀教材（获奖教材、规划教材、推荐教材、新教材、外文教材等），以及有特色的公开出版的自编教材和教学参考书。</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w:t>
      </w:r>
      <w:r>
        <w:rPr>
          <w:rFonts w:hint="eastAsia" w:ascii="宋体" w:hAnsi="宋体" w:eastAsia="宋体" w:cs="Times New Roman"/>
          <w:b/>
          <w:color w:val="auto"/>
          <w:sz w:val="24"/>
          <w:szCs w:val="24"/>
          <w:lang w:eastAsia="zh-CN"/>
        </w:rPr>
        <w:t xml:space="preserve"> 课程标准</w:t>
      </w:r>
      <w:r>
        <w:rPr>
          <w:rFonts w:hint="eastAsia" w:ascii="宋体" w:hAnsi="宋体" w:eastAsia="宋体" w:cs="Times New Roman"/>
          <w:b/>
          <w:color w:val="auto"/>
          <w:sz w:val="24"/>
          <w:szCs w:val="24"/>
        </w:rPr>
        <w:t>制订（修订）的要求</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各专业课程计划中所列的课程均须制订符合规定的课程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，无课程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的课程不能开课。</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全校性公共必修课和选修课由承担该课程的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（部）负责编制</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由各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（部）组织所属学科教研室编写，教研室可安排教学经验丰富的教师或教师小组编写</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初稿，交教研室集体讨论制订，</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（部）审核后报</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批准。</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w:t>
      </w:r>
      <w:r>
        <w:rPr>
          <w:rFonts w:hint="eastAsia" w:ascii="宋体" w:hAnsi="宋体" w:eastAsia="宋体" w:cs="Times New Roman"/>
          <w:color w:val="auto"/>
          <w:sz w:val="24"/>
          <w:szCs w:val="24"/>
        </w:rPr>
        <w:t>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（部）可根据自身学科专业特点，对样本内容进行适当的修改，但应注意保持基本框架，包含主要内容。</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在各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（部）内应统一格式。</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三、</w:t>
      </w:r>
      <w:r>
        <w:rPr>
          <w:rFonts w:hint="eastAsia" w:ascii="宋体" w:hAnsi="宋体" w:eastAsia="宋体" w:cs="Times New Roman"/>
          <w:b/>
          <w:color w:val="auto"/>
          <w:sz w:val="24"/>
          <w:szCs w:val="24"/>
          <w:lang w:eastAsia="zh-CN"/>
        </w:rPr>
        <w:t xml:space="preserve"> 课程标准</w:t>
      </w:r>
      <w:r>
        <w:rPr>
          <w:rFonts w:hint="eastAsia" w:ascii="宋体" w:hAnsi="宋体" w:eastAsia="宋体" w:cs="Times New Roman"/>
          <w:b/>
          <w:color w:val="auto"/>
          <w:sz w:val="24"/>
          <w:szCs w:val="24"/>
        </w:rPr>
        <w:t>的管理</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是组织课程教学的依据，为了保证教学的连续性、稳定性，</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一经批准后必须严格执行，不得随意改动。</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执行过程中，各教研室根据学科的发展变化需要对课程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作部分调整时，可向</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提出申请，同时上报新修订的课程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审核、</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批准后方可生效。</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属于学院基本教学文件。经审定的课程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组织印制，</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、教研室分级保管。教学单位应严格按课程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的要求组织教学活动，</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、教学督导及相关部门也应按课程</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内容，组织相关的教学检查和评估活动。</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29" w:name="_Toc28376"/>
      <w:r>
        <w:rPr>
          <w:rFonts w:hint="eastAsia"/>
          <w:color w:val="auto"/>
        </w:rPr>
        <w:t>课程建设管理办法</w:t>
      </w:r>
      <w:bookmarkEnd w:id="29"/>
    </w:p>
    <w:p>
      <w:pPr>
        <w:spacing w:line="360" w:lineRule="auto"/>
        <w:ind w:firstLine="482" w:firstLineChars="200"/>
        <w:rPr>
          <w:rFonts w:ascii="宋体" w:hAnsi="Calibri" w:eastAsia="宋体" w:cs="Times New Roman"/>
          <w:b/>
          <w:color w:val="auto"/>
          <w:sz w:val="24"/>
          <w:szCs w:val="24"/>
        </w:rPr>
      </w:pP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一、课程建设的目标与任务</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（一）课程建设是最重要的教学基本建设之一，</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（部）、教研室要根据课程建设的进展情况，制定课程建设的具体目标，确保课程建设持续、稳定、协调地发展。</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（二）课程质量分为合格、良好、优秀三个等级。努力建设精品资源共享课程。</w:t>
      </w:r>
    </w:p>
    <w:p>
      <w:pPr>
        <w:spacing w:line="360" w:lineRule="auto"/>
        <w:ind w:firstLine="480" w:firstLineChars="200"/>
        <w:rPr>
          <w:rFonts w:ascii="Calibri" w:hAnsi="Calibri" w:eastAsia="宋体" w:cs="Times New Roman"/>
          <w:color w:val="auto"/>
          <w:sz w:val="24"/>
          <w:szCs w:val="24"/>
        </w:rPr>
      </w:pPr>
      <w:r>
        <w:rPr>
          <w:rFonts w:hint="eastAsia" w:ascii="Calibri" w:hAnsi="Calibri" w:eastAsia="宋体" w:cs="Times New Roman"/>
          <w:color w:val="auto"/>
          <w:sz w:val="24"/>
          <w:szCs w:val="24"/>
        </w:rPr>
        <w:t>（三）课程建设的目标是：</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1.</w:t>
      </w:r>
      <w:r>
        <w:rPr>
          <w:rFonts w:hint="eastAsia" w:ascii="宋体" w:hAnsi="宋体" w:eastAsia="宋体" w:cs="Times New Roman"/>
          <w:color w:val="auto"/>
          <w:kern w:val="2"/>
          <w:sz w:val="24"/>
          <w:szCs w:val="24"/>
          <w:lang w:val="en-US" w:eastAsia="zh-CN" w:bidi="ar-SA"/>
        </w:rPr>
        <w:t>具有</w:t>
      </w:r>
      <w:r>
        <w:rPr>
          <w:rFonts w:ascii="宋体" w:hAnsi="宋体" w:eastAsia="宋体" w:cs="Times New Roman"/>
          <w:color w:val="auto"/>
          <w:kern w:val="2"/>
          <w:sz w:val="24"/>
          <w:szCs w:val="24"/>
          <w:lang w:val="en-US" w:eastAsia="zh-CN" w:bidi="ar-SA"/>
        </w:rPr>
        <w:t>5</w:t>
      </w:r>
      <w:r>
        <w:rPr>
          <w:rFonts w:hint="eastAsia" w:ascii="宋体" w:hAnsi="宋体" w:eastAsia="宋体" w:cs="Times New Roman"/>
          <w:color w:val="auto"/>
          <w:kern w:val="2"/>
          <w:sz w:val="24"/>
          <w:szCs w:val="24"/>
          <w:lang w:val="en-US" w:eastAsia="zh-CN" w:bidi="ar-SA"/>
        </w:rPr>
        <w:t>年以上办学历史的专业，全部必修课程应达到合格标准。办学</w:t>
      </w: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w:t>
      </w:r>
      <w:r>
        <w:rPr>
          <w:rFonts w:ascii="宋体" w:hAnsi="宋体" w:eastAsia="宋体" w:cs="Times New Roman"/>
          <w:color w:val="auto"/>
          <w:kern w:val="2"/>
          <w:sz w:val="24"/>
          <w:szCs w:val="24"/>
          <w:lang w:val="en-US" w:eastAsia="zh-CN" w:bidi="ar-SA"/>
        </w:rPr>
        <w:t>5</w:t>
      </w:r>
      <w:r>
        <w:rPr>
          <w:rFonts w:hint="eastAsia" w:ascii="宋体" w:hAnsi="宋体" w:eastAsia="宋体" w:cs="Times New Roman"/>
          <w:color w:val="auto"/>
          <w:kern w:val="2"/>
          <w:sz w:val="24"/>
          <w:szCs w:val="24"/>
          <w:lang w:val="en-US" w:eastAsia="zh-CN" w:bidi="ar-SA"/>
        </w:rPr>
        <w:t>年的专业，应有</w:t>
      </w:r>
      <w:r>
        <w:rPr>
          <w:rFonts w:ascii="宋体" w:hAnsi="宋体" w:eastAsia="宋体" w:cs="Times New Roman"/>
          <w:color w:val="auto"/>
          <w:kern w:val="2"/>
          <w:sz w:val="24"/>
          <w:szCs w:val="24"/>
          <w:lang w:val="en-US" w:eastAsia="zh-CN" w:bidi="ar-SA"/>
        </w:rPr>
        <w:t>70</w:t>
      </w:r>
      <w:r>
        <w:rPr>
          <w:rFonts w:hint="eastAsia" w:ascii="宋体" w:hAnsi="宋体" w:eastAsia="宋体" w:cs="Times New Roman"/>
          <w:color w:val="auto"/>
          <w:kern w:val="2"/>
          <w:sz w:val="24"/>
          <w:szCs w:val="24"/>
          <w:lang w:val="en-US" w:eastAsia="zh-CN" w:bidi="ar-SA"/>
        </w:rPr>
        <w:t>％以上的必修课程达到合格标准。新办的专业，办学</w:t>
      </w: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年内应有</w:t>
      </w:r>
      <w:r>
        <w:rPr>
          <w:rFonts w:ascii="宋体" w:hAnsi="宋体" w:eastAsia="宋体" w:cs="Times New Roman"/>
          <w:color w:val="auto"/>
          <w:kern w:val="2"/>
          <w:sz w:val="24"/>
          <w:szCs w:val="24"/>
          <w:lang w:val="en-US" w:eastAsia="zh-CN" w:bidi="ar-SA"/>
        </w:rPr>
        <w:t>50</w:t>
      </w:r>
      <w:r>
        <w:rPr>
          <w:rFonts w:hint="eastAsia" w:ascii="宋体" w:hAnsi="宋体" w:eastAsia="宋体" w:cs="Times New Roman"/>
          <w:color w:val="auto"/>
          <w:kern w:val="2"/>
          <w:sz w:val="24"/>
          <w:szCs w:val="24"/>
          <w:lang w:val="en-US" w:eastAsia="zh-CN" w:bidi="ar-SA"/>
        </w:rPr>
        <w:t>％</w:t>
      </w:r>
      <w:r>
        <w:rPr>
          <w:rFonts w:ascii="宋体" w:hAnsi="宋体" w:eastAsia="宋体" w:cs="Times New Roman"/>
          <w:color w:val="auto"/>
          <w:kern w:val="2"/>
          <w:sz w:val="24"/>
          <w:szCs w:val="24"/>
          <w:lang w:val="en-US" w:eastAsia="zh-CN" w:bidi="ar-SA"/>
        </w:rPr>
        <w:t xml:space="preserve"> </w:t>
      </w:r>
      <w:r>
        <w:rPr>
          <w:rFonts w:hint="eastAsia" w:ascii="宋体" w:hAnsi="宋体" w:eastAsia="宋体" w:cs="Times New Roman"/>
          <w:color w:val="auto"/>
          <w:kern w:val="2"/>
          <w:sz w:val="24"/>
          <w:szCs w:val="24"/>
          <w:lang w:val="en-US" w:eastAsia="zh-CN" w:bidi="ar-SA"/>
        </w:rPr>
        <w:t>以上的必修课达到合格标准。</w:t>
      </w:r>
    </w:p>
    <w:p>
      <w:pPr>
        <w:widowControl w:val="0"/>
        <w:tabs>
          <w:tab w:val="left" w:pos="880"/>
        </w:tabs>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2.</w:t>
      </w:r>
      <w:r>
        <w:rPr>
          <w:rFonts w:hint="eastAsia" w:ascii="宋体" w:hAnsi="宋体" w:eastAsia="宋体" w:cs="Times New Roman"/>
          <w:color w:val="auto"/>
          <w:kern w:val="2"/>
          <w:sz w:val="24"/>
          <w:szCs w:val="24"/>
          <w:lang w:val="en-US" w:eastAsia="zh-CN" w:bidi="ar-SA"/>
        </w:rPr>
        <w:t>重点课程全部达到良好标准，部分达到优秀标准。</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每个专业，都要建成</w:t>
      </w:r>
      <w:r>
        <w:rPr>
          <w:rFonts w:ascii="宋体" w:hAnsi="宋体" w:eastAsia="宋体" w:cs="Times New Roman"/>
          <w:color w:val="auto"/>
          <w:kern w:val="2"/>
          <w:sz w:val="24"/>
          <w:szCs w:val="24"/>
          <w:lang w:val="en-US" w:eastAsia="zh-CN" w:bidi="ar-SA"/>
        </w:rPr>
        <w:t>1</w:t>
      </w:r>
      <w:r>
        <w:rPr>
          <w:rFonts w:hint="eastAsia" w:ascii="宋体" w:hAnsi="宋体" w:eastAsia="宋体" w:cs="Times New Roman"/>
          <w:color w:val="auto"/>
          <w:kern w:val="2"/>
          <w:sz w:val="24"/>
          <w:szCs w:val="24"/>
          <w:lang w:val="en-US" w:eastAsia="zh-CN" w:bidi="ar-SA"/>
        </w:rPr>
        <w:t>～</w:t>
      </w:r>
      <w:r>
        <w:rPr>
          <w:rFonts w:ascii="宋体" w:hAnsi="宋体" w:eastAsia="宋体" w:cs="Times New Roman"/>
          <w:color w:val="auto"/>
          <w:kern w:val="2"/>
          <w:sz w:val="24"/>
          <w:szCs w:val="24"/>
          <w:lang w:val="en-US" w:eastAsia="zh-CN" w:bidi="ar-SA"/>
        </w:rPr>
        <w:t xml:space="preserve">2 </w:t>
      </w:r>
      <w:r>
        <w:rPr>
          <w:rFonts w:hint="eastAsia" w:ascii="宋体" w:hAnsi="宋体" w:eastAsia="宋体" w:cs="Times New Roman"/>
          <w:color w:val="auto"/>
          <w:kern w:val="2"/>
          <w:sz w:val="24"/>
          <w:szCs w:val="24"/>
          <w:lang w:val="en-US" w:eastAsia="zh-CN" w:bidi="ar-SA"/>
        </w:rPr>
        <w:t>门高质量的，能体现本专业办学水平的，达到省级优秀课程标准的课程。要建设一门精品资源共享课程。</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二、课程建设主要内容与标准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（一）课程建设应针对影响课程质量的各个环节（特别是薄弱环节）加大建设力度。课程建设的主要内容包括师资队伍、教学条件、教学水平、学术水平与课程特色等方面。</w:t>
      </w:r>
    </w:p>
    <w:p>
      <w:pPr>
        <w:spacing w:line="360" w:lineRule="auto"/>
        <w:ind w:firstLine="420" w:firstLineChars="175"/>
        <w:rPr>
          <w:rFonts w:ascii="宋体" w:hAnsi="Calibri" w:eastAsia="宋体" w:cs="Times New Roman"/>
          <w:color w:val="auto"/>
          <w:sz w:val="24"/>
          <w:szCs w:val="24"/>
        </w:rPr>
      </w:pPr>
      <w:r>
        <w:rPr>
          <w:rFonts w:hint="eastAsia" w:ascii="宋体" w:hAnsi="宋体" w:eastAsia="宋体" w:cs="Times New Roman"/>
          <w:color w:val="auto"/>
          <w:sz w:val="24"/>
          <w:szCs w:val="24"/>
        </w:rPr>
        <w:t>（二）课程建设的合格标准是：</w:t>
      </w:r>
    </w:p>
    <w:p>
      <w:pPr>
        <w:widowControl w:val="0"/>
        <w:tabs>
          <w:tab w:val="left" w:pos="880"/>
        </w:tabs>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1.</w:t>
      </w:r>
      <w:r>
        <w:rPr>
          <w:rFonts w:hint="eastAsia" w:ascii="宋体" w:hAnsi="宋体" w:eastAsia="宋体" w:cs="Times New Roman"/>
          <w:color w:val="auto"/>
          <w:kern w:val="2"/>
          <w:sz w:val="24"/>
          <w:szCs w:val="24"/>
          <w:lang w:val="en-US" w:eastAsia="zh-CN" w:bidi="ar-SA"/>
        </w:rPr>
        <w:t>有配套、完整的教学文件和条件。</w:t>
      </w:r>
    </w:p>
    <w:p>
      <w:pPr>
        <w:widowControl w:val="0"/>
        <w:tabs>
          <w:tab w:val="left" w:pos="880"/>
        </w:tabs>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2.</w:t>
      </w:r>
      <w:r>
        <w:rPr>
          <w:rFonts w:hint="eastAsia" w:ascii="宋体" w:hAnsi="宋体" w:eastAsia="宋体" w:cs="Times New Roman"/>
          <w:color w:val="auto"/>
          <w:kern w:val="2"/>
          <w:sz w:val="24"/>
          <w:szCs w:val="24"/>
          <w:lang w:val="en-US" w:eastAsia="zh-CN" w:bidi="ar-SA"/>
        </w:rPr>
        <w:t>有一支结构合理、数量足够、专兼结合的高素质双师型教师队伍。</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具有合格的课程负责人。课程负责人原则上应由相应学科中级及以上职称教师担任，担任本课程理论与实践教学不少于</w:t>
      </w:r>
      <w:r>
        <w:rPr>
          <w:rFonts w:ascii="宋体" w:hAnsi="宋体" w:eastAsia="宋体" w:cs="Times New Roman"/>
          <w:color w:val="auto"/>
          <w:kern w:val="2"/>
          <w:sz w:val="24"/>
          <w:szCs w:val="24"/>
          <w:lang w:val="en-US" w:eastAsia="zh-CN" w:bidi="ar-SA"/>
        </w:rPr>
        <w:t xml:space="preserve">5 </w:t>
      </w:r>
      <w:r>
        <w:rPr>
          <w:rFonts w:hint="eastAsia" w:ascii="宋体" w:hAnsi="宋体" w:eastAsia="宋体" w:cs="Times New Roman"/>
          <w:color w:val="auto"/>
          <w:kern w:val="2"/>
          <w:sz w:val="24"/>
          <w:szCs w:val="24"/>
          <w:lang w:val="en-US" w:eastAsia="zh-CN" w:bidi="ar-SA"/>
        </w:rPr>
        <w:t>年，有一定行业工作经历与背景，在同行中具有较高教学水平，且在本课程的教学研究、教材建设、校内外实训基地建设等方面有一定造诣。</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4.</w:t>
      </w:r>
      <w:r>
        <w:rPr>
          <w:rFonts w:hint="eastAsia" w:ascii="宋体" w:hAnsi="宋体" w:eastAsia="宋体" w:cs="Times New Roman"/>
          <w:color w:val="auto"/>
          <w:kern w:val="2"/>
          <w:sz w:val="24"/>
          <w:szCs w:val="24"/>
          <w:lang w:val="en-US" w:eastAsia="zh-CN" w:bidi="ar-SA"/>
        </w:rPr>
        <w:t>有教师培训提高规划，并认真执行。</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5.</w:t>
      </w:r>
      <w:r>
        <w:rPr>
          <w:rFonts w:hint="eastAsia" w:ascii="宋体" w:hAnsi="宋体" w:eastAsia="宋体" w:cs="Times New Roman"/>
          <w:color w:val="auto"/>
          <w:kern w:val="2"/>
          <w:sz w:val="24"/>
          <w:szCs w:val="24"/>
          <w:lang w:val="en-US" w:eastAsia="zh-CN" w:bidi="ar-SA"/>
        </w:rPr>
        <w:t>教师有较高的外语水平和计算机运用能力。</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（三）具备一套较为完整的教学方案，有良好的教学水平、效果。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（四）有一定的学术水平和较突出的课程特色。</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三、重点建设课程</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为保证课程建设取得实质性成效，学院对部分课程实施重点建设。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（一）校级重点建设的课程包括主要的公共课、各专业的主要基础课及专业主干课。（按照《广东省普通高等学院省级重点课程评估方案》，课程评估总得分达</w:t>
      </w:r>
      <w:r>
        <w:rPr>
          <w:rFonts w:ascii="宋体" w:hAnsi="宋体" w:eastAsia="宋体" w:cs="Times New Roman"/>
          <w:color w:val="auto"/>
          <w:sz w:val="24"/>
          <w:szCs w:val="24"/>
        </w:rPr>
        <w:t>60</w:t>
      </w:r>
      <w:r>
        <w:rPr>
          <w:rFonts w:hint="eastAsia" w:ascii="宋体" w:hAnsi="宋体" w:eastAsia="宋体" w:cs="Times New Roman"/>
          <w:color w:val="auto"/>
          <w:sz w:val="24"/>
          <w:szCs w:val="24"/>
        </w:rPr>
        <w:t>分以上的为校级重点课程。）</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（二）重点建设课程的经费按下列办法解决：</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省级重点建设课程除省拨经费外，学院每年根据学院实际，拨给一定的配套建设经费。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校级重点建设课程由学院拨给一定的建设经费。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重点建设课程经费主要用于该课程的建设，不得挪作他用。经费的具体使用由</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（部）主任提出，</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审核，主管院长批准后实施。</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重点建设课程启动后，课程负责人必须带领本课组全体教师制订建设规划，付诸实施。教研室、</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（部）应采取有力措施，突出重点和薄弱环节的建设。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已经启动的重点建设课程，经过</w:t>
      </w:r>
      <w:r>
        <w:rPr>
          <w:rFonts w:ascii="宋体" w:hAnsi="宋体" w:eastAsia="宋体" w:cs="Times New Roman"/>
          <w:color w:val="auto"/>
          <w:sz w:val="24"/>
          <w:szCs w:val="24"/>
        </w:rPr>
        <w:t>3—5</w:t>
      </w:r>
      <w:r>
        <w:rPr>
          <w:rFonts w:hint="eastAsia" w:ascii="宋体" w:hAnsi="宋体" w:eastAsia="宋体" w:cs="Times New Roman"/>
          <w:color w:val="auto"/>
          <w:sz w:val="24"/>
          <w:szCs w:val="24"/>
        </w:rPr>
        <w:t>年的建设之后，应取得明显成效。最低要求是：省级重点建设课程必须达到省级良好课程标准，校级重点建设课程必须达到校级良好课程标准。</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四、课程质量的鉴定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（一）凡省、校确定的重点建设课程，教研室教师经过一定的建设，已基本符合课程建设的标准，可申报课程质量的鉴定。</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（二）学院课程质量等级为：</w:t>
      </w:r>
      <w:r>
        <w:rPr>
          <w:rFonts w:ascii="宋体" w:hAnsi="宋体" w:eastAsia="宋体" w:cs="Times New Roman"/>
          <w:color w:val="auto"/>
          <w:sz w:val="24"/>
          <w:szCs w:val="24"/>
        </w:rPr>
        <w:t>60</w:t>
      </w:r>
      <w:r>
        <w:rPr>
          <w:rFonts w:hint="eastAsia" w:ascii="宋体" w:hAnsi="宋体" w:eastAsia="宋体" w:cs="Times New Roman"/>
          <w:color w:val="auto"/>
          <w:sz w:val="24"/>
          <w:szCs w:val="24"/>
        </w:rPr>
        <w:t>～</w:t>
      </w:r>
      <w:r>
        <w:rPr>
          <w:rFonts w:ascii="宋体" w:hAnsi="宋体" w:eastAsia="宋体" w:cs="Times New Roman"/>
          <w:color w:val="auto"/>
          <w:sz w:val="24"/>
          <w:szCs w:val="24"/>
        </w:rPr>
        <w:t>69</w:t>
      </w:r>
      <w:r>
        <w:rPr>
          <w:rFonts w:hint="eastAsia" w:ascii="宋体" w:hAnsi="宋体" w:eastAsia="宋体" w:cs="Times New Roman"/>
          <w:color w:val="auto"/>
          <w:sz w:val="24"/>
          <w:szCs w:val="24"/>
        </w:rPr>
        <w:t>分为合格标准，</w:t>
      </w:r>
      <w:r>
        <w:rPr>
          <w:rFonts w:ascii="宋体" w:hAnsi="宋体" w:eastAsia="宋体" w:cs="Times New Roman"/>
          <w:color w:val="auto"/>
          <w:sz w:val="24"/>
          <w:szCs w:val="24"/>
        </w:rPr>
        <w:t xml:space="preserve">70 </w:t>
      </w:r>
      <w:r>
        <w:rPr>
          <w:rFonts w:hint="eastAsia" w:ascii="宋体" w:hAnsi="宋体" w:eastAsia="宋体" w:cs="Times New Roman"/>
          <w:color w:val="auto"/>
          <w:sz w:val="24"/>
          <w:szCs w:val="24"/>
        </w:rPr>
        <w:t>～</w:t>
      </w:r>
      <w:r>
        <w:rPr>
          <w:rFonts w:ascii="宋体" w:hAnsi="宋体" w:eastAsia="宋体" w:cs="Times New Roman"/>
          <w:color w:val="auto"/>
          <w:sz w:val="24"/>
          <w:szCs w:val="24"/>
        </w:rPr>
        <w:t>79</w:t>
      </w:r>
      <w:r>
        <w:rPr>
          <w:rFonts w:hint="eastAsia" w:ascii="宋体" w:hAnsi="宋体" w:eastAsia="宋体" w:cs="Times New Roman"/>
          <w:color w:val="auto"/>
          <w:sz w:val="24"/>
          <w:szCs w:val="24"/>
        </w:rPr>
        <w:t>分为良好标准，</w:t>
      </w:r>
      <w:r>
        <w:rPr>
          <w:rFonts w:ascii="宋体" w:hAnsi="宋体" w:eastAsia="宋体" w:cs="Times New Roman"/>
          <w:color w:val="auto"/>
          <w:sz w:val="24"/>
          <w:szCs w:val="24"/>
        </w:rPr>
        <w:t>80</w:t>
      </w:r>
      <w:r>
        <w:rPr>
          <w:rFonts w:hint="eastAsia" w:ascii="宋体" w:hAnsi="宋体" w:eastAsia="宋体" w:cs="Times New Roman"/>
          <w:color w:val="auto"/>
          <w:sz w:val="24"/>
          <w:szCs w:val="24"/>
        </w:rPr>
        <w:t>分以上为优秀标准。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（三）课程质量鉴定按下述程序进行：</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1.</w:t>
      </w:r>
      <w:r>
        <w:rPr>
          <w:rFonts w:hint="eastAsia" w:ascii="宋体" w:hAnsi="宋体" w:eastAsia="宋体" w:cs="Times New Roman"/>
          <w:color w:val="auto"/>
          <w:kern w:val="2"/>
          <w:sz w:val="24"/>
          <w:szCs w:val="24"/>
          <w:lang w:val="en-US" w:eastAsia="zh-CN" w:bidi="ar-SA"/>
        </w:rPr>
        <w:t>自检。申请课程质量鉴定的教师，按照学院课程建设标准逐项检查，写出自检报告。</w:t>
      </w:r>
    </w:p>
    <w:p>
      <w:pPr>
        <w:spacing w:line="360" w:lineRule="auto"/>
        <w:ind w:left="210" w:leftChars="100" w:firstLine="240" w:firstLineChars="1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教研室、</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（部）主任和同行专家，对申请者的自检报告与课程建设的成果材料进行检查与评议，作出鉴定意见后报学院</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申请校级鉴定。</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3.</w:t>
      </w:r>
      <w:r>
        <w:rPr>
          <w:rFonts w:hint="eastAsia" w:ascii="宋体" w:hAnsi="宋体" w:eastAsia="宋体" w:cs="Times New Roman"/>
          <w:color w:val="auto"/>
          <w:kern w:val="2"/>
          <w:sz w:val="24"/>
          <w:szCs w:val="24"/>
          <w:lang w:val="en-US" w:eastAsia="zh-CN" w:bidi="ar-SA"/>
        </w:rPr>
        <w:t>校级鉴定由教务部组织鉴定小组，对申请者的自检报告，二级学院（部）的鉴定、以及该课程建设成果进行检查、评议与审核，写出鉴定结论报告，初步评出课程质量等级，交学院学术委员会讨论通过后，由主管院长审批公布鉴定结果。</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4.</w:t>
      </w:r>
      <w:r>
        <w:rPr>
          <w:rFonts w:hint="eastAsia" w:ascii="宋体" w:hAnsi="宋体" w:eastAsia="宋体" w:cs="Times New Roman"/>
          <w:color w:val="auto"/>
          <w:kern w:val="2"/>
          <w:sz w:val="24"/>
          <w:szCs w:val="24"/>
          <w:lang w:val="en-US" w:eastAsia="zh-CN" w:bidi="ar-SA"/>
        </w:rPr>
        <w:t>省级鉴定经校级鉴定确定为校级优秀或良好标准的课程，由学院申请省级课程质量鉴定。</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5.</w:t>
      </w:r>
      <w:r>
        <w:rPr>
          <w:rFonts w:hint="eastAsia" w:ascii="宋体" w:hAnsi="宋体" w:eastAsia="宋体" w:cs="Times New Roman"/>
          <w:color w:val="auto"/>
          <w:kern w:val="2"/>
          <w:sz w:val="24"/>
          <w:szCs w:val="24"/>
          <w:lang w:val="en-US" w:eastAsia="zh-CN" w:bidi="ar-SA"/>
        </w:rPr>
        <w:t>校级课程质量鉴定，每两年进行一次，具体时间由教务部拟定。</w:t>
      </w:r>
    </w:p>
    <w:p>
      <w:pPr>
        <w:widowControl w:val="0"/>
        <w:spacing w:line="360" w:lineRule="auto"/>
        <w:ind w:left="200" w:firstLine="240" w:firstLineChars="100"/>
        <w:jc w:val="both"/>
        <w:rPr>
          <w:rFonts w:ascii="宋体" w:hAnsi="Calibri"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6.</w:t>
      </w:r>
      <w:r>
        <w:rPr>
          <w:rFonts w:hint="eastAsia" w:ascii="宋体" w:hAnsi="宋体" w:eastAsia="宋体" w:cs="Times New Roman"/>
          <w:color w:val="auto"/>
          <w:kern w:val="2"/>
          <w:sz w:val="24"/>
          <w:szCs w:val="24"/>
          <w:lang w:val="en-US" w:eastAsia="zh-CN" w:bidi="ar-SA"/>
        </w:rPr>
        <w:t>属校级以上的重点建设课程，在启动建设后</w:t>
      </w:r>
      <w:r>
        <w:rPr>
          <w:rFonts w:ascii="宋体" w:hAnsi="宋体" w:eastAsia="宋体" w:cs="Times New Roman"/>
          <w:color w:val="auto"/>
          <w:kern w:val="2"/>
          <w:sz w:val="24"/>
          <w:szCs w:val="24"/>
          <w:lang w:val="en-US" w:eastAsia="zh-CN" w:bidi="ar-SA"/>
        </w:rPr>
        <w:t>5</w:t>
      </w:r>
      <w:r>
        <w:rPr>
          <w:rFonts w:hint="eastAsia" w:ascii="宋体" w:hAnsi="宋体" w:eastAsia="宋体" w:cs="Times New Roman"/>
          <w:color w:val="auto"/>
          <w:kern w:val="2"/>
          <w:sz w:val="24"/>
          <w:szCs w:val="24"/>
          <w:lang w:val="en-US" w:eastAsia="zh-CN" w:bidi="ar-SA"/>
        </w:rPr>
        <w:t>年内，必须申请相应层次的课程等级鉴定，不得以任何理由拒绝或放弃课程评估。</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五、课程建设激励机制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（一）凡通过鉴定，达到合格以上课程质量标准的课程，由学院颁发课程质量等级荣誉证书，达到良好以上标准的课程，给予课程组教师一定的奖励。</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（二）通过检查与评估，对省、校两级重点建设课程采取下述办法予以奖励或处理：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对建设成效突出的省级重点建设课程，给予该教研室一定的奖励。对建设成效差的省级重点建设课程，限期一年整改，取消一年的校内配套建设经费，予以通报批评。如经省级检查评估被取消省重点建设课程资格，则冻结重点课程的一切建设经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对建设成效突出的校级重点建设课程，予以表彰并根据需要追加一定的再建设经费。对建设成效差的校级重点建设课程，限期一年整改，如无明显改进取消其重点建设课程资格。</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（三）学院定期（一般每三年一次）举行课程建设成果专题汇报会，凡在课程建设中取得突出成绩的教研室和教师个人，授予课程建设先进单位或先进个人荣誉称号，并给予一定的奖励。</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六、课程建设的职责</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（一）熟悉课程建设的标准并能指导本课程建设，是</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（部）主任任职最基本的条件，</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（部）主任是本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课程建设的负责人，负责本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所任课程的建设规划、组织实施、检查评估等方面的工作，指导课程负责人和课程任课教师开展课程建设。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（二）课程负责人在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（部）、教研室领导下，负责本课程全方位的建设。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在院长和主管副院长领导下，负责全院的课程建设工作。主要职责是：制订学院课程建设规划和建设目标并组织各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（部）实施，落实重点建设课程经费，接受咨询指导课程建设，负责课程检查评估与质量鉴定，实施课程建设奖励、表彰工作。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（四）学院各级领导、各部门要提高对加强课程建设重要意义的认识，把课程一门一门地建设好。学院人事、财务、后勤、设备、图书、信息中心等部门应为课程建设服务，确保我院课程建设达到预期目标。</w:t>
      </w:r>
    </w:p>
    <w:p>
      <w:pPr>
        <w:spacing w:line="360" w:lineRule="auto"/>
        <w:ind w:firstLine="480" w:firstLineChars="200"/>
        <w:rPr>
          <w:rFonts w:ascii="宋体" w:hAnsi="Calibri" w:eastAsia="宋体" w:cs="Times New Roman"/>
          <w:color w:val="auto"/>
          <w:sz w:val="24"/>
          <w:szCs w:val="24"/>
        </w:rPr>
      </w:pPr>
    </w:p>
    <w:p>
      <w:pPr>
        <w:widowControl/>
        <w:jc w:val="center"/>
        <w:rPr>
          <w:rFonts w:ascii="宋体" w:hAnsi="Calibri" w:eastAsia="宋体" w:cs="Times New Roman"/>
          <w:b/>
          <w:color w:val="auto"/>
          <w:sz w:val="24"/>
          <w:szCs w:val="24"/>
        </w:rPr>
      </w:pPr>
      <w:r>
        <w:rPr>
          <w:rFonts w:ascii="宋体" w:hAnsi="Calibri" w:eastAsia="宋体" w:cs="Times New Roman"/>
          <w:color w:val="auto"/>
          <w:sz w:val="24"/>
          <w:szCs w:val="24"/>
        </w:rPr>
        <w:br w:type="page"/>
      </w:r>
      <w:r>
        <w:rPr>
          <w:rFonts w:hint="eastAsia" w:ascii="宋体" w:hAnsi="宋体" w:eastAsia="宋体" w:cs="Times New Roman"/>
          <w:b/>
          <w:color w:val="auto"/>
          <w:sz w:val="24"/>
          <w:szCs w:val="24"/>
        </w:rPr>
        <w:t>附表</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广东江门中医药职业学院课程建设质量标准</w:t>
      </w:r>
    </w:p>
    <w:tbl>
      <w:tblPr>
        <w:tblStyle w:val="16"/>
        <w:tblW w:w="9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71"/>
        <w:gridCol w:w="6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17" w:type="dxa"/>
            <w:noWrap w:val="0"/>
            <w:vAlign w:val="center"/>
          </w:tcPr>
          <w:p>
            <w:pPr>
              <w:jc w:val="center"/>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环节</w:t>
            </w:r>
          </w:p>
        </w:tc>
        <w:tc>
          <w:tcPr>
            <w:tcW w:w="1771" w:type="dxa"/>
            <w:noWrap w:val="0"/>
            <w:vAlign w:val="center"/>
          </w:tcPr>
          <w:p>
            <w:pPr>
              <w:jc w:val="center"/>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要素</w:t>
            </w:r>
          </w:p>
        </w:tc>
        <w:tc>
          <w:tcPr>
            <w:tcW w:w="6701" w:type="dxa"/>
            <w:noWrap w:val="0"/>
            <w:vAlign w:val="center"/>
          </w:tcPr>
          <w:p>
            <w:pPr>
              <w:jc w:val="center"/>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817" w:type="dxa"/>
            <w:vMerge w:val="restart"/>
            <w:noWrap w:val="0"/>
            <w:vAlign w:val="center"/>
          </w:tcPr>
          <w:p>
            <w:pPr>
              <w:jc w:val="center"/>
              <w:rPr>
                <w:rFonts w:ascii="宋体" w:hAnsi="Calibri" w:eastAsia="宋体" w:cs="Times New Roman"/>
                <w:color w:val="auto"/>
                <w:kern w:val="0"/>
                <w:szCs w:val="21"/>
              </w:rPr>
            </w:pPr>
            <w:r>
              <w:rPr>
                <w:rFonts w:hint="eastAsia" w:ascii="宋体" w:hAnsi="宋体" w:eastAsia="宋体" w:cs="Times New Roman"/>
                <w:color w:val="auto"/>
                <w:kern w:val="0"/>
                <w:szCs w:val="21"/>
              </w:rPr>
              <w:t>师资结构</w:t>
            </w: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职称结构</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有高级职称、讲师、助教的梯队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学历结构</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专任教师中硕士比例≥</w:t>
            </w:r>
            <w:r>
              <w:rPr>
                <w:rFonts w:ascii="宋体" w:hAnsi="宋体" w:eastAsia="宋体" w:cs="Times New Roman"/>
                <w:color w:val="auto"/>
                <w:kern w:val="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师资培养</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基本要求：具有该课程完整的师资培养计划与具体措施，效果明显，且新任教师均参加学院统一组织的培训（包括医教结合）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高资历教师</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有在省内同类学院中有一定影响的骨干教师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817" w:type="dxa"/>
            <w:vMerge w:val="restart"/>
            <w:noWrap w:val="0"/>
            <w:vAlign w:val="center"/>
          </w:tcPr>
          <w:p>
            <w:pPr>
              <w:jc w:val="center"/>
              <w:rPr>
                <w:rFonts w:ascii="宋体" w:hAnsi="Calibri" w:eastAsia="宋体" w:cs="Times New Roman"/>
                <w:color w:val="auto"/>
                <w:kern w:val="0"/>
                <w:szCs w:val="21"/>
              </w:rPr>
            </w:pPr>
            <w:r>
              <w:rPr>
                <w:rFonts w:hint="eastAsia" w:ascii="宋体" w:hAnsi="宋体" w:eastAsia="宋体" w:cs="Times New Roman"/>
                <w:color w:val="auto"/>
                <w:kern w:val="0"/>
                <w:szCs w:val="21"/>
              </w:rPr>
              <w:t>教学改革与成效</w:t>
            </w: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教学改革</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主干课程有长期教改计划和近期具体教学改革计划，目标明确，改革措施得力，并取得成效。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公开出版的教材和教学参考书或校本教材</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近三年有出版教材和教学参考书或有行业企业人员参与编写的校本教材。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公开发表的科研论文</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近三年内发表科研论文人均不低于</w:t>
            </w:r>
            <w:r>
              <w:rPr>
                <w:rFonts w:ascii="宋体" w:hAnsi="宋体" w:eastAsia="宋体" w:cs="Times New Roman"/>
                <w:color w:val="auto"/>
                <w:kern w:val="0"/>
                <w:szCs w:val="21"/>
              </w:rPr>
              <w:t>1</w:t>
            </w:r>
            <w:r>
              <w:rPr>
                <w:rFonts w:hint="eastAsia" w:ascii="宋体" w:hAnsi="宋体" w:eastAsia="宋体" w:cs="Times New Roman"/>
                <w:color w:val="auto"/>
                <w:kern w:val="0"/>
                <w:szCs w:val="21"/>
              </w:rPr>
              <w:t>篇</w:t>
            </w:r>
            <w:r>
              <w:rPr>
                <w:rFonts w:ascii="宋体" w:hAnsi="宋体" w:eastAsia="宋体" w:cs="Times New Roman"/>
                <w:color w:val="auto"/>
                <w:kern w:val="0"/>
                <w:szCs w:val="21"/>
              </w:rPr>
              <w:t>/</w:t>
            </w:r>
            <w:r>
              <w:rPr>
                <w:rFonts w:hint="eastAsia" w:ascii="宋体" w:hAnsi="宋体" w:eastAsia="宋体" w:cs="Times New Roman"/>
                <w:color w:val="auto"/>
                <w:kern w:val="0"/>
                <w:szCs w:val="21"/>
              </w:rPr>
              <w:t>人，其中有一定数量为核心期刊发表论文。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科研和科研课题</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近三年承担了校、市级和省级教研或科研项目；且≥</w:t>
            </w:r>
            <w:r>
              <w:rPr>
                <w:rFonts w:ascii="宋体" w:hAnsi="宋体" w:eastAsia="宋体" w:cs="Times New Roman"/>
                <w:color w:val="auto"/>
                <w:kern w:val="0"/>
                <w:szCs w:val="21"/>
              </w:rPr>
              <w:t>70%</w:t>
            </w:r>
            <w:r>
              <w:rPr>
                <w:rFonts w:hint="eastAsia" w:ascii="宋体" w:hAnsi="宋体" w:eastAsia="宋体" w:cs="Times New Roman"/>
                <w:color w:val="auto"/>
                <w:kern w:val="0"/>
                <w:szCs w:val="21"/>
              </w:rPr>
              <w:t>的任课教师参与教研和科研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获科研和教学奖情况</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近五年内获得省级科技成果获教学成果三等奖及以上≥</w:t>
            </w:r>
            <w:r>
              <w:rPr>
                <w:rFonts w:ascii="宋体" w:hAnsi="宋体" w:eastAsia="宋体" w:cs="Times New Roman"/>
                <w:color w:val="auto"/>
                <w:kern w:val="0"/>
                <w:szCs w:val="21"/>
              </w:rPr>
              <w:t>1</w:t>
            </w:r>
            <w:r>
              <w:rPr>
                <w:rFonts w:hint="eastAsia" w:ascii="宋体" w:hAnsi="宋体" w:eastAsia="宋体" w:cs="Times New Roman"/>
                <w:color w:val="auto"/>
                <w:kern w:val="0"/>
                <w:szCs w:val="21"/>
              </w:rPr>
              <w:t>项；市级科技成果或教学成果奖及以上≥</w:t>
            </w:r>
            <w:r>
              <w:rPr>
                <w:rFonts w:ascii="宋体" w:hAnsi="宋体" w:eastAsia="宋体" w:cs="Times New Roman"/>
                <w:color w:val="auto"/>
                <w:kern w:val="0"/>
                <w:szCs w:val="21"/>
              </w:rPr>
              <w:t>2</w:t>
            </w:r>
            <w:r>
              <w:rPr>
                <w:rFonts w:hint="eastAsia" w:ascii="宋体" w:hAnsi="宋体" w:eastAsia="宋体" w:cs="Times New Roman"/>
                <w:color w:val="auto"/>
                <w:kern w:val="0"/>
                <w:szCs w:val="21"/>
              </w:rPr>
              <w:t>项；校级科技成果或教学成果一等奖≥</w:t>
            </w:r>
            <w:r>
              <w:rPr>
                <w:rFonts w:ascii="宋体" w:hAnsi="宋体" w:eastAsia="宋体" w:cs="Times New Roman"/>
                <w:color w:val="auto"/>
                <w:kern w:val="0"/>
                <w:szCs w:val="21"/>
              </w:rPr>
              <w:t>3</w:t>
            </w:r>
            <w:r>
              <w:rPr>
                <w:rFonts w:hint="eastAsia" w:ascii="宋体" w:hAnsi="宋体" w:eastAsia="宋体" w:cs="Times New Roman"/>
                <w:color w:val="auto"/>
                <w:kern w:val="0"/>
                <w:szCs w:val="21"/>
              </w:rPr>
              <w:t>项（三项达到一项即为合格）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17" w:type="dxa"/>
            <w:vMerge w:val="restart"/>
            <w:noWrap w:val="0"/>
            <w:vAlign w:val="center"/>
          </w:tcPr>
          <w:p>
            <w:pPr>
              <w:jc w:val="center"/>
              <w:rPr>
                <w:rFonts w:ascii="宋体" w:hAnsi="Calibri" w:eastAsia="宋体" w:cs="Times New Roman"/>
                <w:color w:val="auto"/>
                <w:kern w:val="0"/>
                <w:szCs w:val="21"/>
              </w:rPr>
            </w:pPr>
            <w:r>
              <w:rPr>
                <w:rFonts w:hint="eastAsia" w:ascii="宋体" w:hAnsi="宋体" w:eastAsia="宋体" w:cs="Times New Roman"/>
                <w:color w:val="auto"/>
                <w:kern w:val="0"/>
                <w:szCs w:val="21"/>
              </w:rPr>
              <w:t>教学条件</w:t>
            </w: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教学文件</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教学文件</w:t>
            </w:r>
            <w:r>
              <w:rPr>
                <w:rFonts w:hint="eastAsia" w:ascii="宋体" w:hAnsi="宋体" w:eastAsia="宋体" w:cs="Times New Roman"/>
                <w:color w:val="auto"/>
                <w:kern w:val="0"/>
                <w:szCs w:val="21"/>
                <w:lang w:eastAsia="zh-CN"/>
              </w:rPr>
              <w:t>二级学院</w:t>
            </w:r>
            <w:r>
              <w:rPr>
                <w:rFonts w:hint="eastAsia" w:ascii="宋体" w:hAnsi="宋体" w:eastAsia="宋体" w:cs="Times New Roman"/>
                <w:color w:val="auto"/>
                <w:kern w:val="0"/>
                <w:szCs w:val="21"/>
              </w:rPr>
              <w:t>统完整、种类齐全，保管规范。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实践教学设备、设施</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能提供好的实践教学设备和场地，教学实践安排设计合理，利用率≥</w:t>
            </w:r>
            <w:r>
              <w:rPr>
                <w:rFonts w:ascii="宋体" w:hAnsi="宋体" w:eastAsia="宋体" w:cs="Times New Roman"/>
                <w:color w:val="auto"/>
                <w:kern w:val="0"/>
                <w:szCs w:val="21"/>
              </w:rPr>
              <w:t>90%</w:t>
            </w:r>
            <w:r>
              <w:rPr>
                <w:rFonts w:hint="eastAsia" w:ascii="宋体" w:hAnsi="宋体" w:eastAsia="宋体" w:cs="Times New Roman"/>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教材建设</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近五年编写有该课程正式出版的教材、教学参考书或与行业企业合作开发的校本教材。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817" w:type="dxa"/>
            <w:vMerge w:val="restart"/>
            <w:noWrap w:val="0"/>
            <w:vAlign w:val="center"/>
          </w:tcPr>
          <w:p>
            <w:pPr>
              <w:jc w:val="center"/>
              <w:rPr>
                <w:rFonts w:ascii="宋体" w:hAnsi="Calibri" w:eastAsia="宋体" w:cs="Times New Roman"/>
                <w:color w:val="auto"/>
                <w:kern w:val="0"/>
                <w:szCs w:val="21"/>
              </w:rPr>
            </w:pPr>
            <w:r>
              <w:rPr>
                <w:rFonts w:hint="eastAsia" w:ascii="宋体" w:hAnsi="宋体" w:eastAsia="宋体" w:cs="Times New Roman"/>
                <w:color w:val="auto"/>
                <w:kern w:val="0"/>
                <w:szCs w:val="21"/>
              </w:rPr>
              <w:t>教学条件</w:t>
            </w: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课程教学资源</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有先进的供教师教学辅导和学生网上学习使用的完整的多媒体课件；或具有建设完备的网络教学资源。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jc w:val="center"/>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教学管理</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有完善的教学管理制度（教改立项以及经费投入、考核管理、试讲制、评教制、行课制教师业务考核等），且近三年无教学事故。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trPr>
        <w:tc>
          <w:tcPr>
            <w:tcW w:w="817" w:type="dxa"/>
            <w:vMerge w:val="restart"/>
            <w:noWrap w:val="0"/>
            <w:vAlign w:val="center"/>
          </w:tcPr>
          <w:p>
            <w:pPr>
              <w:jc w:val="center"/>
              <w:rPr>
                <w:rFonts w:ascii="宋体" w:hAnsi="Calibri" w:eastAsia="宋体" w:cs="Times New Roman"/>
                <w:color w:val="auto"/>
                <w:kern w:val="0"/>
                <w:szCs w:val="21"/>
              </w:rPr>
            </w:pPr>
            <w:r>
              <w:rPr>
                <w:rFonts w:hint="eastAsia" w:ascii="宋体" w:hAnsi="宋体" w:eastAsia="宋体" w:cs="Times New Roman"/>
                <w:color w:val="auto"/>
                <w:kern w:val="0"/>
                <w:szCs w:val="21"/>
              </w:rPr>
              <w:t>教学工作质量</w:t>
            </w: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教学内容</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教学内容符合大纲要求，选用全国优秀教材或学生反映好的自编教材；课程内容注重创新能力培养；有完备的</w:t>
            </w:r>
            <w:r>
              <w:rPr>
                <w:rFonts w:hint="eastAsia" w:ascii="宋体" w:hAnsi="宋体" w:eastAsia="宋体" w:cs="Times New Roman"/>
                <w:color w:val="auto"/>
                <w:kern w:val="0"/>
                <w:szCs w:val="21"/>
                <w:lang w:eastAsia="zh-CN"/>
              </w:rPr>
              <w:t xml:space="preserve"> 课程标准</w:t>
            </w:r>
            <w:r>
              <w:rPr>
                <w:rFonts w:hint="eastAsia" w:ascii="宋体" w:hAnsi="宋体" w:eastAsia="宋体" w:cs="Times New Roman"/>
                <w:color w:val="auto"/>
                <w:kern w:val="0"/>
                <w:szCs w:val="21"/>
              </w:rPr>
              <w:t>，内容更新快，综合性、设计性、创新性实验≥</w:t>
            </w:r>
            <w:r>
              <w:rPr>
                <w:rFonts w:ascii="宋体" w:hAnsi="宋体" w:eastAsia="宋体" w:cs="Times New Roman"/>
                <w:color w:val="auto"/>
                <w:kern w:val="0"/>
                <w:szCs w:val="21"/>
              </w:rPr>
              <w:t>30%</w:t>
            </w:r>
            <w:r>
              <w:rPr>
                <w:rFonts w:hint="eastAsia" w:ascii="宋体" w:hAnsi="宋体" w:eastAsia="宋体" w:cs="Times New Roman"/>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trPr>
        <w:tc>
          <w:tcPr>
            <w:tcW w:w="817" w:type="dxa"/>
            <w:vMerge w:val="continue"/>
            <w:noWrap w:val="0"/>
            <w:vAlign w:val="center"/>
          </w:tcPr>
          <w:p>
            <w:pPr>
              <w:ind w:firstLine="420" w:firstLineChars="200"/>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教学手段</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w:t>
            </w:r>
            <w:r>
              <w:rPr>
                <w:rFonts w:ascii="宋体" w:hAnsi="宋体" w:eastAsia="宋体" w:cs="Times New Roman"/>
                <w:color w:val="auto"/>
                <w:kern w:val="0"/>
                <w:szCs w:val="21"/>
              </w:rPr>
              <w:t>90%</w:t>
            </w:r>
            <w:r>
              <w:rPr>
                <w:rFonts w:hint="eastAsia" w:ascii="宋体" w:hAnsi="宋体" w:eastAsia="宋体" w:cs="Times New Roman"/>
                <w:color w:val="auto"/>
                <w:kern w:val="0"/>
                <w:szCs w:val="21"/>
              </w:rPr>
              <w:t>的教师能采用先进的教学手段，提高学生的综合素质和实践能力效果明显；任该课程的教师具有开发教学软件的能力；注重教学方法改革，“教、学、做”为一体，工学结合。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817" w:type="dxa"/>
            <w:vMerge w:val="continue"/>
            <w:noWrap w:val="0"/>
            <w:vAlign w:val="center"/>
          </w:tcPr>
          <w:p>
            <w:pPr>
              <w:ind w:firstLine="420" w:firstLineChars="200"/>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成绩考核</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进行了新的考试方式改革，并全面实施取得成绩，并且考试管理严密、科学、规范。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817" w:type="dxa"/>
            <w:vMerge w:val="continue"/>
            <w:noWrap w:val="0"/>
            <w:vAlign w:val="center"/>
          </w:tcPr>
          <w:p>
            <w:pPr>
              <w:ind w:firstLine="420" w:firstLineChars="200"/>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学生评教</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近三年任该课程教师的学生评教分值在</w:t>
            </w:r>
            <w:r>
              <w:rPr>
                <w:rFonts w:ascii="宋体" w:hAnsi="宋体" w:eastAsia="宋体" w:cs="Times New Roman"/>
                <w:color w:val="auto"/>
                <w:kern w:val="0"/>
                <w:szCs w:val="21"/>
              </w:rPr>
              <w:t>80</w:t>
            </w:r>
            <w:r>
              <w:rPr>
                <w:rFonts w:hint="eastAsia" w:ascii="宋体" w:hAnsi="宋体" w:eastAsia="宋体" w:cs="Times New Roman"/>
                <w:color w:val="auto"/>
                <w:kern w:val="0"/>
                <w:szCs w:val="21"/>
              </w:rPr>
              <w:t>分以上的比例≥</w:t>
            </w:r>
            <w:r>
              <w:rPr>
                <w:rFonts w:ascii="宋体" w:hAnsi="宋体" w:eastAsia="宋体" w:cs="Times New Roman"/>
                <w:color w:val="auto"/>
                <w:kern w:val="0"/>
                <w:szCs w:val="21"/>
              </w:rPr>
              <w:t>80%</w:t>
            </w:r>
            <w:r>
              <w:rPr>
                <w:rFonts w:hint="eastAsia" w:ascii="宋体" w:hAnsi="宋体" w:eastAsia="宋体" w:cs="Times New Roman"/>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atLeast"/>
        </w:trPr>
        <w:tc>
          <w:tcPr>
            <w:tcW w:w="817" w:type="dxa"/>
            <w:vMerge w:val="continue"/>
            <w:noWrap w:val="0"/>
            <w:vAlign w:val="center"/>
          </w:tcPr>
          <w:p>
            <w:pPr>
              <w:ind w:firstLine="420" w:firstLineChars="200"/>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同行、领导和专家评教</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近三年任该课程教师的同行、领导和专家评教分值在</w:t>
            </w:r>
            <w:r>
              <w:rPr>
                <w:rFonts w:ascii="宋体" w:hAnsi="宋体" w:eastAsia="宋体" w:cs="Times New Roman"/>
                <w:color w:val="auto"/>
                <w:kern w:val="0"/>
                <w:szCs w:val="21"/>
              </w:rPr>
              <w:t>80</w:t>
            </w:r>
            <w:r>
              <w:rPr>
                <w:rFonts w:hint="eastAsia" w:ascii="宋体" w:hAnsi="宋体" w:eastAsia="宋体" w:cs="Times New Roman"/>
                <w:color w:val="auto"/>
                <w:kern w:val="0"/>
                <w:szCs w:val="21"/>
              </w:rPr>
              <w:t>分以上的比例≥</w:t>
            </w:r>
            <w:r>
              <w:rPr>
                <w:rFonts w:ascii="宋体" w:hAnsi="宋体" w:eastAsia="宋体" w:cs="Times New Roman"/>
                <w:color w:val="auto"/>
                <w:kern w:val="0"/>
                <w:szCs w:val="21"/>
              </w:rPr>
              <w:t>85%</w:t>
            </w:r>
            <w:r>
              <w:rPr>
                <w:rFonts w:hint="eastAsia" w:ascii="宋体" w:hAnsi="宋体" w:eastAsia="宋体" w:cs="Times New Roman"/>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817" w:type="dxa"/>
            <w:vMerge w:val="continue"/>
            <w:noWrap w:val="0"/>
            <w:vAlign w:val="center"/>
          </w:tcPr>
          <w:p>
            <w:pPr>
              <w:ind w:firstLine="420" w:firstLineChars="200"/>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高职称及高学位教师任课率</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基本要求；近三年高级职称教师或具有硕士学位的讲师主讲该课程总学时率≥</w:t>
            </w:r>
            <w:r>
              <w:rPr>
                <w:rFonts w:ascii="宋体" w:hAnsi="宋体" w:eastAsia="宋体" w:cs="Times New Roman"/>
                <w:color w:val="auto"/>
                <w:kern w:val="0"/>
                <w:szCs w:val="21"/>
              </w:rPr>
              <w:t>70%</w:t>
            </w:r>
            <w:r>
              <w:rPr>
                <w:rFonts w:hint="eastAsia" w:ascii="宋体" w:hAnsi="宋体" w:eastAsia="宋体" w:cs="Times New Roman"/>
                <w:color w:val="auto"/>
                <w:kern w:val="0"/>
                <w:szCs w:val="21"/>
              </w:rPr>
              <w:t>；助教主讲该课程≤</w:t>
            </w:r>
            <w:r>
              <w:rPr>
                <w:rFonts w:ascii="宋体" w:hAnsi="宋体" w:eastAsia="宋体" w:cs="Times New Roman"/>
                <w:color w:val="auto"/>
                <w:kern w:val="0"/>
                <w:szCs w:val="21"/>
              </w:rPr>
              <w:t>15%</w:t>
            </w:r>
            <w:r>
              <w:rPr>
                <w:rFonts w:hint="eastAsia" w:ascii="宋体" w:hAnsi="宋体" w:eastAsia="宋体" w:cs="Times New Roman"/>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817" w:type="dxa"/>
            <w:vMerge w:val="continue"/>
            <w:noWrap w:val="0"/>
            <w:vAlign w:val="center"/>
          </w:tcPr>
          <w:p>
            <w:pPr>
              <w:ind w:firstLine="420" w:firstLineChars="200"/>
              <w:rPr>
                <w:rFonts w:ascii="宋体" w:hAnsi="Calibri" w:eastAsia="宋体" w:cs="Times New Roman"/>
                <w:color w:val="auto"/>
                <w:kern w:val="0"/>
                <w:szCs w:val="21"/>
              </w:rPr>
            </w:pPr>
          </w:p>
        </w:tc>
        <w:tc>
          <w:tcPr>
            <w:tcW w:w="1771" w:type="dxa"/>
            <w:noWrap w:val="0"/>
            <w:vAlign w:val="center"/>
          </w:tcPr>
          <w:p>
            <w:pPr>
              <w:adjustRightInd w:val="0"/>
              <w:snapToGrid w:val="0"/>
              <w:jc w:val="left"/>
              <w:rPr>
                <w:rFonts w:ascii="宋体" w:hAnsi="Calibri" w:eastAsia="宋体" w:cs="Times New Roman"/>
                <w:color w:val="auto"/>
                <w:kern w:val="0"/>
                <w:szCs w:val="21"/>
              </w:rPr>
            </w:pPr>
            <w:r>
              <w:rPr>
                <w:rFonts w:hint="eastAsia" w:ascii="宋体" w:hAnsi="宋体" w:eastAsia="宋体" w:cs="Times New Roman"/>
                <w:color w:val="auto"/>
                <w:kern w:val="0"/>
                <w:szCs w:val="21"/>
              </w:rPr>
              <w:t>教学态度</w:t>
            </w:r>
          </w:p>
        </w:tc>
        <w:tc>
          <w:tcPr>
            <w:tcW w:w="6701" w:type="dxa"/>
            <w:noWrap w:val="0"/>
            <w:vAlign w:val="center"/>
          </w:tcPr>
          <w:p>
            <w:pPr>
              <w:ind w:firstLine="420" w:firstLineChars="200"/>
              <w:rPr>
                <w:rFonts w:ascii="宋体" w:hAnsi="Calibri" w:eastAsia="宋体" w:cs="Times New Roman"/>
                <w:color w:val="auto"/>
                <w:kern w:val="0"/>
                <w:szCs w:val="21"/>
              </w:rPr>
            </w:pPr>
            <w:r>
              <w:rPr>
                <w:rFonts w:hint="eastAsia" w:ascii="宋体" w:hAnsi="宋体" w:eastAsia="宋体" w:cs="Times New Roman"/>
                <w:color w:val="auto"/>
                <w:kern w:val="0"/>
                <w:szCs w:val="21"/>
              </w:rPr>
              <w:t>近三年所有任该课程的教师在学生、同行、领导、专家评教中，对“教学态度”的评价为优的比例≥</w:t>
            </w:r>
            <w:r>
              <w:rPr>
                <w:rFonts w:ascii="宋体" w:hAnsi="宋体" w:eastAsia="宋体" w:cs="Times New Roman"/>
                <w:color w:val="auto"/>
                <w:kern w:val="0"/>
                <w:szCs w:val="21"/>
              </w:rPr>
              <w:t>80%</w:t>
            </w:r>
            <w:r>
              <w:rPr>
                <w:rFonts w:hint="eastAsia" w:ascii="宋体" w:hAnsi="宋体" w:eastAsia="宋体" w:cs="Times New Roman"/>
                <w:color w:val="auto"/>
                <w:kern w:val="0"/>
                <w:szCs w:val="21"/>
              </w:rPr>
              <w:t>。</w:t>
            </w:r>
          </w:p>
        </w:tc>
      </w:tr>
    </w:tbl>
    <w:p>
      <w:pPr>
        <w:pStyle w:val="3"/>
        <w:bidi w:val="0"/>
        <w:jc w:val="center"/>
        <w:rPr>
          <w:color w:val="auto"/>
        </w:rPr>
      </w:pPr>
      <w:bookmarkStart w:id="30" w:name="_Toc32181"/>
      <w:r>
        <w:rPr>
          <w:rFonts w:hint="eastAsia"/>
          <w:color w:val="auto"/>
        </w:rPr>
        <w:t>精品资源开放（共享）课程建设实施办法</w:t>
      </w:r>
      <w:bookmarkEnd w:id="30"/>
    </w:p>
    <w:p>
      <w:pPr>
        <w:rPr>
          <w:rFonts w:ascii="Calibri" w:hAnsi="Calibri" w:eastAsia="宋体" w:cs="Times New Roman"/>
          <w:color w:val="auto"/>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为加强我院的课程建设，提高课程质量，根据《教育部关于国家精品开放课程建设的实施意见》（教高〔</w:t>
      </w:r>
      <w:r>
        <w:rPr>
          <w:rFonts w:ascii="宋体" w:hAnsi="宋体" w:eastAsia="宋体" w:cs="Times New Roman"/>
          <w:color w:val="auto"/>
          <w:sz w:val="24"/>
          <w:szCs w:val="24"/>
        </w:rPr>
        <w:t>2011</w:t>
      </w:r>
      <w:r>
        <w:rPr>
          <w:rFonts w:hint="eastAsia" w:ascii="宋体" w:hAnsi="宋体" w:eastAsia="宋体" w:cs="Times New Roman"/>
          <w:color w:val="auto"/>
          <w:sz w:val="24"/>
          <w:szCs w:val="24"/>
        </w:rPr>
        <w:t>〕</w:t>
      </w:r>
      <w:r>
        <w:rPr>
          <w:rFonts w:ascii="宋体" w:hAnsi="宋体" w:eastAsia="宋体" w:cs="Times New Roman"/>
          <w:color w:val="auto"/>
          <w:sz w:val="24"/>
          <w:szCs w:val="24"/>
        </w:rPr>
        <w:t>8</w:t>
      </w:r>
      <w:r>
        <w:rPr>
          <w:rFonts w:hint="eastAsia" w:ascii="宋体" w:hAnsi="宋体" w:eastAsia="宋体" w:cs="Times New Roman"/>
          <w:color w:val="auto"/>
          <w:sz w:val="24"/>
          <w:szCs w:val="24"/>
        </w:rPr>
        <w:t>号）和教育部办公厅《精品资源共享课建设工作实施办法》等文件精神，结合我院实际情况，特制定本办法。</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一、精品资源共享课程建设的目标</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精品资源共享课是以高校教师和大学生为服务主体，同时面向社会学习者的基础课和专业课等各类网络共享课程。精品资源共享课旨在推动高等学院优质课程教学资源共建共享，着力促进教育教学观念转变、教学内容更新和教学方法改革，提高人才培养质量，服务学习型社会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（一）逐步形成一支结构合理、人员稳定、专兼结合、教学水平高、教学效果好的</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双师</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结构教师队伍，并配备一定比例的辅导教师和实习指导教师。课程负责人要以学院专任教师为主，其师德师风好，学术水平高，教学能力强，教学经验丰富，具有一定的临床经验。课程负责人负责课程教学方案的规划落实，鼓励专兼结合的教学团队共同开展教学方案的规划和设计，由来自企业、行业一线的优秀兼职教师主讲专业技能课程。</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教学内容体现基于职业岗位分析和具体工作过程的课程设计理念，以真实工作任务或临床案例为载体组织教学内容，在真实工作情境中采用新的教学方法和手段实施教学。根据技术领域和职业岗位（群）的任职要求，参照相关的职业资格标准，改革课程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和教学内容。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（三）使用多种教学方法，因材施教，合理运用现代信息技术等手段，改革传统的教学思想观念、教学方法、教学手段和教学管理。精品资源共享课程要使用网络进行教学与管理，相关的</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、授课计划、教案、习题、实习实训指导、参考文献目录等要上网并免费开放，鼓励将网络课件、授课录像等上网开放，实现优质教学资源共享，带动其他课程的建设。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（四）逐步建设起一套完善的一体化设计、多种媒体有机结合的立体化教材。</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（五）教学设施完备，实训基地能够满足课程临床实训或仿真实训的需要。</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（六）教学管理科学高效，建立相应的评价和激励机制。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（七）力争经过</w:t>
      </w:r>
      <w:r>
        <w:rPr>
          <w:rFonts w:ascii="宋体" w:hAnsi="宋体" w:eastAsia="宋体" w:cs="Times New Roman"/>
          <w:color w:val="auto"/>
          <w:sz w:val="24"/>
          <w:szCs w:val="24"/>
        </w:rPr>
        <w:t>3</w:t>
      </w:r>
      <w:r>
        <w:rPr>
          <w:rFonts w:hint="eastAsia" w:ascii="宋体" w:hAnsi="宋体" w:eastAsia="宋体" w:cs="Times New Roman"/>
          <w:color w:val="auto"/>
          <w:sz w:val="24"/>
          <w:szCs w:val="24"/>
        </w:rPr>
        <w:t>～</w:t>
      </w:r>
      <w:r>
        <w:rPr>
          <w:rFonts w:ascii="宋体" w:hAnsi="宋体" w:eastAsia="宋体" w:cs="Times New Roman"/>
          <w:color w:val="auto"/>
          <w:sz w:val="24"/>
          <w:szCs w:val="24"/>
        </w:rPr>
        <w:t>5</w:t>
      </w:r>
      <w:r>
        <w:rPr>
          <w:rFonts w:hint="eastAsia" w:ascii="宋体" w:hAnsi="宋体" w:eastAsia="宋体" w:cs="Times New Roman"/>
          <w:color w:val="auto"/>
          <w:sz w:val="24"/>
          <w:szCs w:val="24"/>
        </w:rPr>
        <w:t>年时间的建设，在我院建立起涵盖各门类和专业的校、省、国家三级精品资源共享课程体</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w:t>
      </w:r>
      <w:r>
        <w:rPr>
          <w:rFonts w:ascii="宋体" w:hAnsi="宋体" w:eastAsia="宋体" w:cs="Times New Roman"/>
          <w:color w:val="auto"/>
          <w:sz w:val="24"/>
          <w:szCs w:val="24"/>
        </w:rPr>
        <w:t>1</w:t>
      </w:r>
      <w:r>
        <w:rPr>
          <w:rFonts w:hint="eastAsia" w:ascii="宋体" w:hAnsi="宋体" w:eastAsia="宋体" w:cs="Times New Roman"/>
          <w:color w:val="auto"/>
          <w:sz w:val="24"/>
          <w:szCs w:val="24"/>
        </w:rPr>
        <w:t>）建成</w:t>
      </w:r>
      <w:r>
        <w:rPr>
          <w:rFonts w:ascii="宋体" w:hAnsi="宋体" w:eastAsia="宋体" w:cs="Times New Roman"/>
          <w:color w:val="auto"/>
          <w:sz w:val="24"/>
          <w:szCs w:val="24"/>
        </w:rPr>
        <w:t>10</w:t>
      </w:r>
      <w:r>
        <w:rPr>
          <w:rFonts w:hint="eastAsia" w:ascii="宋体" w:hAnsi="宋体" w:eastAsia="宋体" w:cs="Times New Roman"/>
          <w:color w:val="auto"/>
          <w:sz w:val="24"/>
          <w:szCs w:val="24"/>
        </w:rPr>
        <w:t>～</w:t>
      </w:r>
      <w:r>
        <w:rPr>
          <w:rFonts w:ascii="宋体" w:hAnsi="宋体" w:eastAsia="宋体" w:cs="Times New Roman"/>
          <w:color w:val="auto"/>
          <w:sz w:val="24"/>
          <w:szCs w:val="24"/>
        </w:rPr>
        <w:t>20</w:t>
      </w:r>
      <w:r>
        <w:rPr>
          <w:rFonts w:hint="eastAsia" w:ascii="宋体" w:hAnsi="宋体" w:eastAsia="宋体" w:cs="Times New Roman"/>
          <w:color w:val="auto"/>
          <w:sz w:val="24"/>
          <w:szCs w:val="24"/>
        </w:rPr>
        <w:t>门具有鲜明特色、辐射示范作用的校级精品资源共享课程；（</w:t>
      </w:r>
      <w:r>
        <w:rPr>
          <w:rFonts w:ascii="宋体" w:hAnsi="宋体" w:eastAsia="宋体" w:cs="Times New Roman"/>
          <w:color w:val="auto"/>
          <w:sz w:val="24"/>
          <w:szCs w:val="24"/>
        </w:rPr>
        <w:t>2</w:t>
      </w:r>
      <w:r>
        <w:rPr>
          <w:rFonts w:hint="eastAsia" w:ascii="宋体" w:hAnsi="宋体" w:eastAsia="宋体" w:cs="Times New Roman"/>
          <w:color w:val="auto"/>
          <w:sz w:val="24"/>
          <w:szCs w:val="24"/>
        </w:rPr>
        <w:t>）建成省级精品资源共享课程</w:t>
      </w:r>
      <w:r>
        <w:rPr>
          <w:rFonts w:ascii="宋体" w:hAnsi="宋体" w:eastAsia="宋体" w:cs="Times New Roman"/>
          <w:color w:val="auto"/>
          <w:sz w:val="24"/>
          <w:szCs w:val="24"/>
        </w:rPr>
        <w:t>3</w:t>
      </w:r>
      <w:r>
        <w:rPr>
          <w:rFonts w:hint="eastAsia" w:ascii="宋体" w:hAnsi="宋体" w:eastAsia="宋体" w:cs="Times New Roman"/>
          <w:color w:val="auto"/>
          <w:sz w:val="24"/>
          <w:szCs w:val="24"/>
        </w:rPr>
        <w:t>～</w:t>
      </w:r>
      <w:r>
        <w:rPr>
          <w:rFonts w:ascii="宋体" w:hAnsi="宋体" w:eastAsia="宋体" w:cs="Times New Roman"/>
          <w:color w:val="auto"/>
          <w:sz w:val="24"/>
          <w:szCs w:val="24"/>
        </w:rPr>
        <w:t xml:space="preserve">5 </w:t>
      </w:r>
      <w:r>
        <w:rPr>
          <w:rFonts w:hint="eastAsia" w:ascii="宋体" w:hAnsi="宋体" w:eastAsia="宋体" w:cs="Times New Roman"/>
          <w:color w:val="auto"/>
          <w:sz w:val="24"/>
          <w:szCs w:val="24"/>
        </w:rPr>
        <w:t>门，国家级精品资源共享课程</w:t>
      </w:r>
      <w:r>
        <w:rPr>
          <w:rFonts w:ascii="宋体" w:hAnsi="宋体" w:eastAsia="宋体" w:cs="Times New Roman"/>
          <w:color w:val="auto"/>
          <w:sz w:val="24"/>
          <w:szCs w:val="24"/>
        </w:rPr>
        <w:t>1</w:t>
      </w:r>
      <w:r>
        <w:rPr>
          <w:rFonts w:hint="eastAsia" w:ascii="宋体" w:hAnsi="宋体" w:eastAsia="宋体" w:cs="Times New Roman"/>
          <w:color w:val="auto"/>
          <w:sz w:val="24"/>
          <w:szCs w:val="24"/>
        </w:rPr>
        <w:t>～</w:t>
      </w:r>
      <w:r>
        <w:rPr>
          <w:rFonts w:ascii="宋体" w:hAnsi="宋体" w:eastAsia="宋体" w:cs="Times New Roman"/>
          <w:color w:val="auto"/>
          <w:sz w:val="24"/>
          <w:szCs w:val="24"/>
        </w:rPr>
        <w:t>2</w:t>
      </w:r>
      <w:r>
        <w:rPr>
          <w:rFonts w:hint="eastAsia" w:ascii="宋体" w:hAnsi="宋体" w:eastAsia="宋体" w:cs="Times New Roman"/>
          <w:color w:val="auto"/>
          <w:sz w:val="24"/>
          <w:szCs w:val="24"/>
        </w:rPr>
        <w:t>门。</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二、管理机构</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为我院精品资源共享课程建设的日常管理机构。</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三、申报及评审</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（一）申报条件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申报课程一般要求：（</w:t>
      </w:r>
      <w:r>
        <w:rPr>
          <w:rFonts w:ascii="宋体" w:hAnsi="宋体" w:eastAsia="宋体" w:cs="Times New Roman"/>
          <w:color w:val="auto"/>
          <w:sz w:val="24"/>
          <w:szCs w:val="24"/>
        </w:rPr>
        <w:t>1</w:t>
      </w:r>
      <w:r>
        <w:rPr>
          <w:rFonts w:hint="eastAsia" w:ascii="宋体" w:hAnsi="宋体" w:eastAsia="宋体" w:cs="Times New Roman"/>
          <w:color w:val="auto"/>
          <w:sz w:val="24"/>
          <w:szCs w:val="24"/>
        </w:rPr>
        <w:t>）申报课程范围主要是工学结合的职业技能课程，部分建设基础条件较好的专业基础课程、人文素质基础课程也可申报；（</w:t>
      </w:r>
      <w:r>
        <w:rPr>
          <w:rFonts w:ascii="宋体" w:hAnsi="宋体" w:eastAsia="宋体" w:cs="Times New Roman"/>
          <w:color w:val="auto"/>
          <w:sz w:val="24"/>
          <w:szCs w:val="24"/>
        </w:rPr>
        <w:t>2</w:t>
      </w:r>
      <w:r>
        <w:rPr>
          <w:rFonts w:hint="eastAsia" w:ascii="宋体" w:hAnsi="宋体" w:eastAsia="宋体" w:cs="Times New Roman"/>
          <w:color w:val="auto"/>
          <w:sz w:val="24"/>
          <w:szCs w:val="24"/>
        </w:rPr>
        <w:t>）在校内连续开设</w:t>
      </w:r>
      <w:r>
        <w:rPr>
          <w:rFonts w:ascii="宋体" w:hAnsi="宋体" w:eastAsia="宋体" w:cs="Times New Roman"/>
          <w:color w:val="auto"/>
          <w:sz w:val="24"/>
          <w:szCs w:val="24"/>
        </w:rPr>
        <w:t>3</w:t>
      </w:r>
      <w:r>
        <w:rPr>
          <w:rFonts w:hint="eastAsia" w:ascii="宋体" w:hAnsi="宋体" w:eastAsia="宋体" w:cs="Times New Roman"/>
          <w:color w:val="auto"/>
          <w:sz w:val="24"/>
          <w:szCs w:val="24"/>
        </w:rPr>
        <w:t>学期以上；（</w:t>
      </w:r>
      <w:r>
        <w:rPr>
          <w:rFonts w:ascii="宋体" w:hAnsi="宋体" w:eastAsia="宋体" w:cs="Times New Roman"/>
          <w:color w:val="auto"/>
          <w:sz w:val="24"/>
          <w:szCs w:val="24"/>
        </w:rPr>
        <w:t>3</w:t>
      </w:r>
      <w:r>
        <w:rPr>
          <w:rFonts w:hint="eastAsia" w:ascii="宋体" w:hAnsi="宋体" w:eastAsia="宋体" w:cs="Times New Roman"/>
          <w:color w:val="auto"/>
          <w:sz w:val="24"/>
          <w:szCs w:val="24"/>
        </w:rPr>
        <w:t>）课程参与教师</w:t>
      </w:r>
      <w:r>
        <w:rPr>
          <w:rFonts w:ascii="宋体" w:hAnsi="宋体" w:eastAsia="宋体" w:cs="Times New Roman"/>
          <w:color w:val="auto"/>
          <w:sz w:val="24"/>
          <w:szCs w:val="24"/>
        </w:rPr>
        <w:t>3</w:t>
      </w:r>
      <w:r>
        <w:rPr>
          <w:rFonts w:hint="eastAsia" w:ascii="宋体" w:hAnsi="宋体" w:eastAsia="宋体" w:cs="Times New Roman"/>
          <w:color w:val="auto"/>
          <w:sz w:val="24"/>
          <w:szCs w:val="24"/>
        </w:rPr>
        <w:t>名以上，课程负责人应具有讲师及以上职称，以学院专任教师为主，负责课程建设的规划、组织与实施，课程主讲教师至少应有</w:t>
      </w:r>
      <w:r>
        <w:rPr>
          <w:rFonts w:ascii="宋体" w:hAnsi="宋体" w:eastAsia="宋体" w:cs="Times New Roman"/>
          <w:color w:val="auto"/>
          <w:sz w:val="24"/>
          <w:szCs w:val="24"/>
        </w:rPr>
        <w:t>2</w:t>
      </w:r>
      <w:r>
        <w:rPr>
          <w:rFonts w:hint="eastAsia" w:ascii="宋体" w:hAnsi="宋体" w:eastAsia="宋体" w:cs="Times New Roman"/>
          <w:color w:val="auto"/>
          <w:sz w:val="24"/>
          <w:szCs w:val="24"/>
        </w:rPr>
        <w:t>人具有讲师及以上职称；（</w:t>
      </w:r>
      <w:r>
        <w:rPr>
          <w:rFonts w:ascii="宋体" w:hAnsi="宋体" w:eastAsia="宋体" w:cs="Times New Roman"/>
          <w:color w:val="auto"/>
          <w:sz w:val="24"/>
          <w:szCs w:val="24"/>
        </w:rPr>
        <w:t>4</w:t>
      </w:r>
      <w:r>
        <w:rPr>
          <w:rFonts w:hint="eastAsia" w:ascii="宋体" w:hAnsi="宋体" w:eastAsia="宋体" w:cs="Times New Roman"/>
          <w:color w:val="auto"/>
          <w:sz w:val="24"/>
          <w:szCs w:val="24"/>
        </w:rPr>
        <w:t>）申报课程已建有支撑网站且运行畅通，并可提供该课程的</w:t>
      </w:r>
      <w:r>
        <w:rPr>
          <w:rFonts w:hint="eastAsia" w:ascii="宋体" w:hAnsi="宋体" w:eastAsia="宋体" w:cs="Times New Roman"/>
          <w:color w:val="auto"/>
          <w:sz w:val="24"/>
          <w:szCs w:val="24"/>
          <w:lang w:eastAsia="zh-CN"/>
        </w:rPr>
        <w:t xml:space="preserve"> 课程标准</w:t>
      </w:r>
      <w:r>
        <w:rPr>
          <w:rFonts w:hint="eastAsia" w:ascii="宋体" w:hAnsi="宋体" w:eastAsia="宋体" w:cs="Times New Roman"/>
          <w:color w:val="auto"/>
          <w:sz w:val="24"/>
          <w:szCs w:val="24"/>
        </w:rPr>
        <w:t>、授课计划、教案、习题、实习实训指导、参考文献目录、课程描述、课程负责人简介、主讲教师简介、教学队伍结构简介、同行及学生评价等材料；（</w:t>
      </w:r>
      <w:r>
        <w:rPr>
          <w:rFonts w:ascii="宋体" w:hAnsi="宋体" w:eastAsia="宋体" w:cs="Times New Roman"/>
          <w:color w:val="auto"/>
          <w:sz w:val="24"/>
          <w:szCs w:val="24"/>
        </w:rPr>
        <w:t>5</w:t>
      </w:r>
      <w:r>
        <w:rPr>
          <w:rFonts w:hint="eastAsia" w:ascii="宋体" w:hAnsi="宋体" w:eastAsia="宋体" w:cs="Times New Roman"/>
          <w:color w:val="auto"/>
          <w:sz w:val="24"/>
          <w:szCs w:val="24"/>
        </w:rPr>
        <w:t>）网上教学资源包含课程整体设计介绍录像（不超过</w:t>
      </w:r>
      <w:r>
        <w:rPr>
          <w:rFonts w:ascii="宋体" w:hAnsi="宋体" w:eastAsia="宋体" w:cs="Times New Roman"/>
          <w:color w:val="auto"/>
          <w:sz w:val="24"/>
          <w:szCs w:val="24"/>
        </w:rPr>
        <w:t>40</w:t>
      </w:r>
      <w:r>
        <w:rPr>
          <w:rFonts w:hint="eastAsia" w:ascii="宋体" w:hAnsi="宋体" w:eastAsia="宋体" w:cs="Times New Roman"/>
          <w:color w:val="auto"/>
          <w:sz w:val="24"/>
          <w:szCs w:val="24"/>
        </w:rPr>
        <w:t>分钟）和课程教学录像（不超过</w:t>
      </w:r>
      <w:r>
        <w:rPr>
          <w:rFonts w:ascii="宋体" w:hAnsi="宋体" w:eastAsia="宋体" w:cs="Times New Roman"/>
          <w:color w:val="auto"/>
          <w:sz w:val="24"/>
          <w:szCs w:val="24"/>
        </w:rPr>
        <w:t>15</w:t>
      </w:r>
      <w:r>
        <w:rPr>
          <w:rFonts w:hint="eastAsia" w:ascii="宋体" w:hAnsi="宋体" w:eastAsia="宋体" w:cs="Times New Roman"/>
          <w:color w:val="auto"/>
          <w:sz w:val="24"/>
          <w:szCs w:val="24"/>
        </w:rPr>
        <w:t>分钟），其中，课程整体设计介绍录像以说课为主，包括教学设计以及相应的教学设施、环境和实训实习场景等介绍，并附相应文字说明。</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（二）申报及评审程序</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由课程负责人填写《广东江门中医药职业学院校级精品资源共享课程申报表》，经</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（部）同意后交</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汇总后组织评审；按照《广东江门中医药职业学院校级精品资源共享课程评审指标》进行评审，评审过程分为四个阶段，即：资格审查，网上教学资源评审，教学效果评价（审看录像、网上学生评价）和会议审定，择优确定当年的精品资源共享课程。</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学院对评审结果进行公示（公示内容包括申请表、说明材料、上网资源、课程整体设计介绍录像、教学录像、网上学生评价意见）。公示期内（</w:t>
      </w:r>
      <w:r>
        <w:rPr>
          <w:rFonts w:ascii="宋体" w:hAnsi="宋体" w:eastAsia="宋体" w:cs="Times New Roman"/>
          <w:color w:val="auto"/>
          <w:sz w:val="24"/>
          <w:szCs w:val="24"/>
        </w:rPr>
        <w:t>7</w:t>
      </w:r>
      <w:r>
        <w:rPr>
          <w:rFonts w:hint="eastAsia" w:ascii="宋体" w:hAnsi="宋体" w:eastAsia="宋体" w:cs="Times New Roman"/>
          <w:color w:val="auto"/>
          <w:sz w:val="24"/>
          <w:szCs w:val="24"/>
        </w:rPr>
        <w:t>天）如对材料有异议，由学院组织复审；如无异议，经学院批准后公布。</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四、建设及管理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（一）学院每年评选校级精品资源共享课程</w:t>
      </w:r>
      <w:r>
        <w:rPr>
          <w:rFonts w:ascii="宋体" w:hAnsi="宋体" w:eastAsia="宋体" w:cs="Times New Roman"/>
          <w:color w:val="auto"/>
          <w:sz w:val="24"/>
          <w:szCs w:val="24"/>
        </w:rPr>
        <w:t>3</w:t>
      </w:r>
      <w:r>
        <w:rPr>
          <w:rFonts w:hint="eastAsia" w:ascii="宋体" w:hAnsi="宋体" w:eastAsia="宋体" w:cs="Times New Roman"/>
          <w:color w:val="auto"/>
          <w:sz w:val="24"/>
          <w:szCs w:val="24"/>
        </w:rPr>
        <w:t>门左右，连续评选</w:t>
      </w:r>
      <w:r>
        <w:rPr>
          <w:rFonts w:ascii="宋体" w:hAnsi="宋体" w:eastAsia="宋体" w:cs="Times New Roman"/>
          <w:color w:val="auto"/>
          <w:sz w:val="24"/>
          <w:szCs w:val="24"/>
        </w:rPr>
        <w:t>5</w:t>
      </w:r>
      <w:r>
        <w:rPr>
          <w:rFonts w:hint="eastAsia" w:ascii="宋体" w:hAnsi="宋体" w:eastAsia="宋体" w:cs="Times New Roman"/>
          <w:color w:val="auto"/>
          <w:sz w:val="24"/>
          <w:szCs w:val="24"/>
        </w:rPr>
        <w:t>年，以后为巩固、维护升级和补充评选。</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（二）校级精品资源共享课程建设项目实行课程负责人制，课程负责人应认真参照《精品资源共享课程评审指标》积极开展精品资源共享课程建设的各项工作。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已评的校级精品资源共享课程应继续进行教学改革，不断提高，力争达到省级精品资源共享课程或国家级精品资源共享课程标准。要求课程网站畅通，免费开放课程资源，并不断更新上网内容，逐年增加上网的授课录像，含有实践教学环节的课程还应对实践教学全程录像上网（包括设备环境介绍和指导教师的指导过程）。鼓励专兼结合的教学团队共同开展教学方案的规划和设计，由来自企业、行业一线的优秀兼职教师主讲专业技能课程。</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每年组织人员对校级精品资源共享课程进行随机复查。复查后发现不合格的，责成课程负责人限期整改，直至取消校级精品资源共享课程的称号。</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校级精品资源共享课程评选结果为优秀或经一年以上建设和运行，取得显著效果，经复查和综合审核认为符合省级及以上精品资源共享课程条件的课程，学院将推荐申报省级及以上精品资源共享课程，并拨付一定的建设经费，用于多媒体课件及教学录像制作与完善、网站建设、教学资料建设、师资培训等项目。</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31" w:name="_Toc30757"/>
      <w:r>
        <w:rPr>
          <w:rFonts w:hint="eastAsia"/>
          <w:color w:val="auto"/>
        </w:rPr>
        <w:t>实验（实训）室建设与管理制度</w:t>
      </w:r>
      <w:bookmarkEnd w:id="31"/>
    </w:p>
    <w:p>
      <w:pPr>
        <w:pStyle w:val="34"/>
        <w:ind w:firstLine="723" w:firstLineChars="300"/>
        <w:rPr>
          <w:rFonts w:ascii="宋体" w:eastAsia="宋体" w:cs="Times New Roman"/>
          <w:color w:val="auto"/>
          <w:sz w:val="24"/>
          <w:szCs w:val="24"/>
        </w:rPr>
      </w:pPr>
      <w:r>
        <w:rPr>
          <w:rFonts w:hint="eastAsia" w:ascii="宋体" w:hAnsi="宋体" w:eastAsia="宋体" w:cs="Times New Roman"/>
          <w:color w:val="auto"/>
          <w:sz w:val="24"/>
          <w:szCs w:val="24"/>
        </w:rPr>
        <w:t>一、总则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（一）为加强我院实验（实训）室的建设和管理，保障教学质量和科研水平，提高办学效益，根据《高等学校实验室工作规程》（中华人民共和国国家教育委员会令第</w:t>
      </w:r>
      <w:r>
        <w:rPr>
          <w:rFonts w:ascii="宋体" w:hAnsi="宋体" w:eastAsia="宋体" w:cs="Times New Roman"/>
          <w:color w:val="auto"/>
          <w:sz w:val="24"/>
          <w:szCs w:val="24"/>
        </w:rPr>
        <w:t>20</w:t>
      </w:r>
      <w:r>
        <w:rPr>
          <w:rFonts w:hint="eastAsia" w:ascii="宋体" w:hAnsi="宋体" w:eastAsia="宋体" w:cs="Times New Roman"/>
          <w:color w:val="auto"/>
          <w:sz w:val="24"/>
          <w:szCs w:val="24"/>
        </w:rPr>
        <w:t>号），并结合我院实际情况，特制定本制度。</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实验（实训）室是指有一定数量的人员和仪器设备、房屋等基础条件，为教学、科研服务的基本单位，是实现人才培养目标的重要场所。实验（实训）室管理是对实验（实训）室的人、财、物等资源进行有效的决策、计划、组织、领导、控制，保证实现学院的人才培养、科学研究、技术开发、社会服务等各项任务。</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（三）实验（实训）室建设与管理本着</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不求所有，但求所用</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的共享理念进行建设和管理。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（四）实验（实训）室的建立、撤销或调整，必须依照实验（实训）室建设与管理的相关规定进行科学论证，并经主管部门审核，上报学院批准后方可实施。学院各种教学用实验（实训）室由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统一管理。</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二、实验（实训）室的基本任务</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根据专业人才培养方案的要求，承担实验（实训）教学任务。实验（实训）室工作人员要协助实验教师不断更新、充实和完善实验（实训）教材和实验（实训）指导的内容，努力完成实验（实训）教学任务。</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（六）不断改革实验（实训）教学方法，努力提高实验（实训）教学质量。通过实验（实训）培养学生理论联</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际的能力，严谨的科学态度和分析问题、解决问题的能力；积极开展实验（实训）教学研究和实验（实训）教学改革，吸收教学和科研的新成果，更新实验（实训）内容。逐步提高综合性、设计性实验（实训）项目的比例，全面培养学生的创新精神和动手能力，不断提高实验（实训）教学水平和质量。</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（七）根据学院科研工作的需要，积极承担科研任务，开展科学研究，保证高效率、高水平地完成科研任务。</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（八）打造区域公共实验（实训）平台，学院实验（实训）室在保证完成学院教学、科研任务的前提下，要挖掘潜力，加强横向联</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，对外开展培训、实验、化验、分析、测试、研制和开发新产品等服务，以增强实验（实训）室的社会服务能力，提高实验（实训）室的效益。</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（九）不断利用新技术完善实验（实训）条件、改革实验（实训）手段，要创造条件不断改善实验（实训）教学和实验（实训）室工作环境。</w:t>
      </w:r>
    </w:p>
    <w:p>
      <w:pPr>
        <w:pStyle w:val="34"/>
        <w:ind w:firstLine="482" w:firstLineChars="200"/>
        <w:rPr>
          <w:rFonts w:ascii="宋体" w:eastAsia="宋体" w:cs="Times New Roman"/>
          <w:color w:val="auto"/>
          <w:sz w:val="24"/>
          <w:szCs w:val="24"/>
        </w:rPr>
      </w:pPr>
      <w:r>
        <w:rPr>
          <w:rFonts w:hint="eastAsia" w:ascii="宋体" w:hAnsi="宋体" w:eastAsia="宋体" w:cs="Times New Roman"/>
          <w:color w:val="auto"/>
          <w:sz w:val="24"/>
          <w:szCs w:val="24"/>
        </w:rPr>
        <w:t>三、管理体制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（十）实验（实训）室管理实行学院、</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两级管理体制。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（十一）主管教学副院长负责全院实验（实训）室工作。</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在分管副院长的领导下，全面负责学院实验（实训）室的规划、建设、管理、协调和评估等工作。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（十二）各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（实训中心）是负责本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实验（实训）室工作的管理部门，在</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的督导下全面负责本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实验（实训）室的规划、建设、管理、协调和评估等工作。</w:t>
      </w:r>
    </w:p>
    <w:p>
      <w:pPr>
        <w:pStyle w:val="34"/>
        <w:ind w:firstLine="482" w:firstLineChars="200"/>
        <w:rPr>
          <w:rFonts w:ascii="宋体" w:eastAsia="宋体" w:cs="Times New Roman"/>
          <w:color w:val="auto"/>
          <w:sz w:val="24"/>
          <w:szCs w:val="24"/>
        </w:rPr>
      </w:pPr>
      <w:r>
        <w:rPr>
          <w:rFonts w:hint="eastAsia" w:ascii="宋体" w:hAnsi="宋体" w:eastAsia="宋体" w:cs="Times New Roman"/>
          <w:color w:val="auto"/>
          <w:sz w:val="24"/>
          <w:szCs w:val="24"/>
        </w:rPr>
        <w:t>四、实验（实训）室队伍建设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（十三）实验（实训）室队伍包括从事实验（实训）室工作的教师、实验技术人员等。</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（十四）实验（实训）技术人员是教学和科研的重要技术力量，要根据教学和科研的需要，努力建设一支结构合理、相对稳定、数量适当的工作人员队伍。</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（十五）实验（实训）室要配备一定数量专职实验教师，以保证高质量完成实验（实训）教学任务。</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（十六）实验（实训）室工作人员必须树立全心全意为教学、科研服务的思想，精心钻研业务。</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（十七）实验（实训）室各类工作人员的职务聘任、级别晋升应根据实验（实训）室的工作特点和本人的工作业绩，按照国家和学院有关文件规定执行。</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八）学院将定期对教学实验（实训）室工作进行检查、总结、评比和交流，对成绩显著的集体和个人，学院将予以表彰和奖励；对违反规定、失职或因工作不负责任造成损失者，学院将视情节轻重分别给予批评教育、行政处分，直至追究法律责任。</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（十九）各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应高度重视实验（实训）室队伍建设和管理，有计划、有组织地加强业务培训，通过各种途径提高其素质和实际工作能力。</w:t>
      </w:r>
    </w:p>
    <w:p>
      <w:pPr>
        <w:pStyle w:val="34"/>
        <w:ind w:firstLine="482" w:firstLineChars="200"/>
        <w:rPr>
          <w:rFonts w:ascii="宋体" w:eastAsia="宋体" w:cs="Times New Roman"/>
          <w:color w:val="auto"/>
          <w:sz w:val="24"/>
          <w:szCs w:val="24"/>
        </w:rPr>
      </w:pPr>
      <w:r>
        <w:rPr>
          <w:rFonts w:hint="eastAsia" w:ascii="宋体" w:hAnsi="宋体" w:eastAsia="宋体" w:cs="Times New Roman"/>
          <w:color w:val="auto"/>
          <w:sz w:val="24"/>
          <w:szCs w:val="24"/>
        </w:rPr>
        <w:t>五、实验（实训）室建设</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（二十）实验（实训）室建设的总体要求是：</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统一规划，合理布局，突出重点，资源共享，效益优先</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实验（实训）室建设纳入学院的总体发展规划，结合学院的专业设置、学科发展及科研需要，有计划、有步骤、有措施、有重点地进行。同时，还要考虑到环境、设施、仪器设备、人员结构、经费投入等综合配套因素。</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（二十一）设置实验（实训）室，必须具备以下基本条件：</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．有稳定的学科专业发展方向和明确的实验（实训）教学或科研、技术开发任务。</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．有符合实验（实训）工作要求的房舍、设施及环境。</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．有一定数量和配套齐全的仪器设备。</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w:t>
      </w:r>
      <w:r>
        <w:rPr>
          <w:rFonts w:hint="eastAsia" w:ascii="宋体" w:hAnsi="宋体" w:eastAsia="宋体" w:cs="Times New Roman"/>
          <w:color w:val="auto"/>
          <w:sz w:val="24"/>
          <w:szCs w:val="24"/>
        </w:rPr>
        <w:t>．有一定数量的专职工作人员。</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w:t>
      </w:r>
      <w:r>
        <w:rPr>
          <w:rFonts w:hint="eastAsia" w:ascii="宋体" w:hAnsi="宋体" w:eastAsia="宋体" w:cs="Times New Roman"/>
          <w:color w:val="auto"/>
          <w:sz w:val="24"/>
          <w:szCs w:val="24"/>
        </w:rPr>
        <w:t>．有科学的工作规范和完善的管理制度。</w:t>
      </w:r>
    </w:p>
    <w:p>
      <w:pPr>
        <w:pStyle w:val="34"/>
        <w:ind w:firstLine="482" w:firstLineChars="200"/>
        <w:rPr>
          <w:rFonts w:ascii="宋体" w:eastAsia="宋体" w:cs="Times New Roman"/>
          <w:color w:val="auto"/>
          <w:sz w:val="24"/>
          <w:szCs w:val="24"/>
        </w:rPr>
      </w:pPr>
      <w:r>
        <w:rPr>
          <w:rFonts w:hint="eastAsia" w:ascii="宋体" w:hAnsi="宋体" w:eastAsia="宋体" w:cs="Times New Roman"/>
          <w:color w:val="auto"/>
          <w:sz w:val="24"/>
          <w:szCs w:val="24"/>
        </w:rPr>
        <w:t>六、实验（实训）室环境与安全管理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（二十二）实验（实训）室环保和安全工作应成为实验（实训）教学、科学研究和开展各项工作的行为准则。学院各级部门和人员，要本着对社会和学院高度负责的精神，遵循</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安全第一、预防为主</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的方针和</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谁主管、谁负责，谁使用、谁负责</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的原则，制定本部门的实验（实训）室环保和安全工作具体规定，明确职责，落实责任。</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（二十三）实验（实训）室安全防火防爆管理</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．实验（实训）室工作人员和教师从事教学实验（实训）、科研实验工作时，应按规定要求穿工作服、戴安全手套等，做好防护工作。实验（实训）器材的使用必须严格按照产品使用说明书操作。</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加强安全教育。实验（实训）室工作人员和教师每次实验（实训）前应检查学生是否进行了充分的预习并了解实验（实训）内容及有关安全事项；实验（实训）开始前应先检查仪器是否完整、放置妥当，以及仪器设备是否处于安全状态；实验（实训）过程中不得随意离开，对于化学类实验（实训）项目必须注意实验反应情况；实验（实训）完毕要关好水、电、气源；实验（实训）操作中如有自燃、易燃物品，附近应设灭火用具和急救箱。</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按照国家消防安全规定设置消防器材，并定期检查。</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（二十四）实验（实训）室防毒管理</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实验（实训）室对有毒物品需加强管理，设专人保管。购买剧毒品时需提出报告，写明用途和购买的数量，经总务处到公安部门指定商店（公司）购买。购回后经验收并存放于专用保险箱中，钥匙由两人分开保管，领用时需两人在场签字，确认领用数量及余额，发现问题应立即报告，查明原因。</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．在实验中应尽量采用无毒或低毒物质代替有毒物质。在必须使用有毒物品时，应事先了解其性质并熟悉使用注意事项。</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．进行有毒实验时必须穿好防护服，戴好防护眼镜、防毒口罩或防毒面具。禁止用手直接接触毒物。</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w:t>
      </w:r>
      <w:r>
        <w:rPr>
          <w:rFonts w:hint="eastAsia" w:ascii="宋体" w:hAnsi="宋体" w:eastAsia="宋体" w:cs="Times New Roman"/>
          <w:color w:val="auto"/>
          <w:sz w:val="24"/>
          <w:szCs w:val="24"/>
        </w:rPr>
        <w:t>．在进行有毒气体产生的实验时，应采用密闭的实验装置，避免毒气扩散，产生的毒气有回收可能的要回收。实验（实训）室要有良好的排气通风条件，必要时增设局部或全面送风装置。</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w:t>
      </w:r>
      <w:r>
        <w:rPr>
          <w:rFonts w:hint="eastAsia" w:ascii="宋体" w:hAnsi="宋体" w:eastAsia="宋体" w:cs="Times New Roman"/>
          <w:color w:val="auto"/>
          <w:sz w:val="24"/>
          <w:szCs w:val="24"/>
        </w:rPr>
        <w:t>．未用完的剧毒物品必须重新入库，禁止随意存放、弃置或埋入地下。</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（二十五）实验（实训）室防腐蚀管理</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．腐蚀性物品应使用耐腐蚀的容器，不得与其它易腐蚀的物品混放，要注意其容器的密封性，并保持库房和实验（实训）室的通风良好。</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．酸性和碱性物质分区分类隔离储存。</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．产生腐蚀性挥发气体的实验应在通风柜中进行。</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w:t>
      </w:r>
      <w:r>
        <w:rPr>
          <w:rFonts w:hint="eastAsia" w:ascii="宋体" w:hAnsi="宋体" w:eastAsia="宋体" w:cs="Times New Roman"/>
          <w:color w:val="auto"/>
          <w:sz w:val="24"/>
          <w:szCs w:val="24"/>
        </w:rPr>
        <w:t>．酸、碱废液必须经过处理，符合排放标准才能排放。</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w:t>
      </w:r>
      <w:r>
        <w:rPr>
          <w:rFonts w:hint="eastAsia" w:ascii="宋体" w:hAnsi="宋体" w:eastAsia="宋体" w:cs="Times New Roman"/>
          <w:color w:val="auto"/>
          <w:sz w:val="24"/>
          <w:szCs w:val="24"/>
        </w:rPr>
        <w:t>．搬运、使用腐蚀性物品要穿戴好个人防护用品。</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（二十六）实验（实训）室防盗管理</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．学院根据不同的安全需要，可对实验（实训）室加装防撬保险锁、防盗窗栅、铁门和防盗报警装置等。防盗报警</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统必须经常检查，保持完好状态。</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．实验（实训）室工作人员离开实验（实训）室必须锁好门窗，断电断水，检查实验（实训）室内仪器设备无异常情况后，方可离开。</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．实验（实训）室门锁钥匙要落实专人管理，严防丢失、私自配制。</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4</w:t>
      </w:r>
      <w:r>
        <w:rPr>
          <w:rFonts w:hint="eastAsia" w:ascii="宋体" w:hAnsi="宋体" w:eastAsia="宋体" w:cs="Times New Roman"/>
          <w:color w:val="auto"/>
          <w:sz w:val="24"/>
          <w:szCs w:val="24"/>
        </w:rPr>
        <w:t>．贵重材料应放入保险柜中存放。</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5</w:t>
      </w:r>
      <w:r>
        <w:rPr>
          <w:rFonts w:hint="eastAsia" w:ascii="宋体" w:hAnsi="宋体" w:eastAsia="宋体" w:cs="Times New Roman"/>
          <w:color w:val="auto"/>
          <w:sz w:val="24"/>
          <w:szCs w:val="24"/>
        </w:rPr>
        <w:t>．未经批准，外单位人员不得随意进入实验（实训）室。</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6</w:t>
      </w:r>
      <w:r>
        <w:rPr>
          <w:rFonts w:hint="eastAsia" w:ascii="宋体" w:hAnsi="宋体" w:eastAsia="宋体" w:cs="Times New Roman"/>
          <w:color w:val="auto"/>
          <w:sz w:val="24"/>
          <w:szCs w:val="24"/>
        </w:rPr>
        <w:t>．实验（实训）室被盗后，应立即报告本部门、保卫处和</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，由保卫部门对事件进行定性，落实事故责任。</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（二十七）实验（实训）室环境管理</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．切实加强实验（实训）室环境的日常管理。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1</w:t>
      </w:r>
      <w:r>
        <w:rPr>
          <w:rFonts w:hint="eastAsia" w:ascii="宋体" w:hAnsi="宋体" w:eastAsia="宋体" w:cs="Times New Roman"/>
          <w:color w:val="auto"/>
          <w:sz w:val="24"/>
          <w:szCs w:val="24"/>
        </w:rPr>
        <w:t>）室内各种仪器、设备、家具、实验物品必须安放整齐、有序、协调美观，与实验（实训）无关的杂物，不得放置在室内。</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2</w:t>
      </w:r>
      <w:r>
        <w:rPr>
          <w:rFonts w:hint="eastAsia" w:ascii="宋体" w:hAnsi="宋体" w:eastAsia="宋体" w:cs="Times New Roman"/>
          <w:color w:val="auto"/>
          <w:sz w:val="24"/>
          <w:szCs w:val="24"/>
        </w:rPr>
        <w:t>）仪器设备及实验台面应保持干净、整洁，无尘土、无污渍。</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3</w:t>
      </w:r>
      <w:r>
        <w:rPr>
          <w:rFonts w:hint="eastAsia" w:ascii="宋体" w:hAnsi="宋体" w:eastAsia="宋体" w:cs="Times New Roman"/>
          <w:color w:val="auto"/>
          <w:sz w:val="24"/>
          <w:szCs w:val="24"/>
        </w:rPr>
        <w:t>）地面应保持清洁，无纸屑、无垃圾、无污渍。</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4</w:t>
      </w:r>
      <w:r>
        <w:rPr>
          <w:rFonts w:hint="eastAsia" w:ascii="宋体" w:hAnsi="宋体" w:eastAsia="宋体" w:cs="Times New Roman"/>
          <w:color w:val="auto"/>
          <w:sz w:val="24"/>
          <w:szCs w:val="24"/>
        </w:rPr>
        <w:t>）窗户应保持清洁明亮，窗帘应保持整洁。</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5</w:t>
      </w:r>
      <w:r>
        <w:rPr>
          <w:rFonts w:hint="eastAsia" w:ascii="宋体" w:hAnsi="宋体" w:eastAsia="宋体" w:cs="Times New Roman"/>
          <w:color w:val="auto"/>
          <w:sz w:val="24"/>
          <w:szCs w:val="24"/>
        </w:rPr>
        <w:t>）墙壁无剥落、无污损。</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6</w:t>
      </w:r>
      <w:r>
        <w:rPr>
          <w:rFonts w:hint="eastAsia" w:ascii="宋体" w:hAnsi="宋体" w:eastAsia="宋体" w:cs="Times New Roman"/>
          <w:color w:val="auto"/>
          <w:sz w:val="24"/>
          <w:szCs w:val="24"/>
        </w:rPr>
        <w:t>）室内通风、采光良好，电力、照明、控温、控湿、防火安全设施完好、可靠。</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．加强实验（实训）室环境的规划建设改造。</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1</w:t>
      </w:r>
      <w:r>
        <w:rPr>
          <w:rFonts w:hint="eastAsia" w:ascii="宋体" w:hAnsi="宋体" w:eastAsia="宋体" w:cs="Times New Roman"/>
          <w:color w:val="auto"/>
          <w:sz w:val="24"/>
          <w:szCs w:val="24"/>
        </w:rPr>
        <w:t>）实验（实训）室建筑结构无论新建、扩建、改建还是改造都应符合实验（实训）室的基本要求。</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2</w:t>
      </w:r>
      <w:r>
        <w:rPr>
          <w:rFonts w:hint="eastAsia" w:ascii="宋体" w:hAnsi="宋体" w:eastAsia="宋体" w:cs="Times New Roman"/>
          <w:color w:val="auto"/>
          <w:sz w:val="24"/>
          <w:szCs w:val="24"/>
        </w:rPr>
        <w:t>）确保实验（实训）室供电设施的质量和安全可靠性。对大型精密仪器设备，要根据需要提供稳压、恒流、稳频、抗干扰电源，确保其正常可靠地工作。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3</w:t>
      </w:r>
      <w:r>
        <w:rPr>
          <w:rFonts w:hint="eastAsia" w:ascii="宋体" w:hAnsi="宋体" w:eastAsia="宋体" w:cs="Times New Roman"/>
          <w:color w:val="auto"/>
          <w:sz w:val="24"/>
          <w:szCs w:val="24"/>
        </w:rPr>
        <w:t>）实验（实训）室照明是保证教师和学生安全操作的重要条件，在设计新建、改建实验（实训）室时，合理地利用自然采光增加室内的照明度外，还要辅以人工照明。</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4</w:t>
      </w:r>
      <w:r>
        <w:rPr>
          <w:rFonts w:hint="eastAsia" w:ascii="宋体" w:hAnsi="宋体" w:eastAsia="宋体" w:cs="Times New Roman"/>
          <w:color w:val="auto"/>
          <w:sz w:val="24"/>
          <w:szCs w:val="24"/>
        </w:rPr>
        <w:t>）要根据各实验（实训）室的特点和要求考虑通风、换气条件。为阻止一些蒸汽、气体和微粒被吸入人体，有化学、放射性污物的实验（实训）室还必须配备通风柜。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5</w:t>
      </w:r>
      <w:r>
        <w:rPr>
          <w:rFonts w:hint="eastAsia" w:ascii="宋体" w:hAnsi="宋体" w:eastAsia="宋体" w:cs="Times New Roman"/>
          <w:color w:val="auto"/>
          <w:sz w:val="24"/>
          <w:szCs w:val="24"/>
        </w:rPr>
        <w:t>）在实验（实训）室的供水与排放上，应根据各实验（实训）室的不同特点区别对待，特殊实验（实训）室的废水必须进行净化后才允许排入下水网道，确保不致污染环境。</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w:t>
      </w:r>
      <w:r>
        <w:rPr>
          <w:rFonts w:ascii="宋体" w:hAnsi="宋体" w:eastAsia="宋体" w:cs="Times New Roman"/>
          <w:color w:val="auto"/>
          <w:sz w:val="24"/>
          <w:szCs w:val="24"/>
        </w:rPr>
        <w:t>6</w:t>
      </w:r>
      <w:r>
        <w:rPr>
          <w:rFonts w:hint="eastAsia" w:ascii="宋体" w:hAnsi="宋体" w:eastAsia="宋体" w:cs="Times New Roman"/>
          <w:color w:val="auto"/>
          <w:sz w:val="24"/>
          <w:szCs w:val="24"/>
        </w:rPr>
        <w:t>）实验（实训）室要求温度和湿度适宜，使教师及学生有一个舒适</w:t>
      </w:r>
    </w:p>
    <w:p>
      <w:pPr>
        <w:spacing w:line="360" w:lineRule="auto"/>
        <w:rPr>
          <w:rFonts w:ascii="宋体" w:hAnsi="Calibri" w:eastAsia="宋体" w:cs="Times New Roman"/>
          <w:color w:val="auto"/>
          <w:sz w:val="24"/>
          <w:szCs w:val="24"/>
        </w:rPr>
      </w:pPr>
      <w:r>
        <w:rPr>
          <w:rFonts w:hint="eastAsia" w:ascii="宋体" w:hAnsi="宋体" w:eastAsia="宋体" w:cs="Times New Roman"/>
          <w:color w:val="auto"/>
          <w:sz w:val="24"/>
          <w:szCs w:val="24"/>
        </w:rPr>
        <w:t>的工作和学习环境，延长仪器设备的寿命。</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七、附则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（二十八）各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（中心）可根据各自专业特点，制定相应的管理实施办法。</w:t>
      </w:r>
    </w:p>
    <w:p>
      <w:pPr>
        <w:widowControl/>
        <w:spacing w:line="360" w:lineRule="auto"/>
        <w:ind w:firstLine="482" w:firstLineChars="200"/>
        <w:jc w:val="left"/>
        <w:rPr>
          <w:rFonts w:ascii="宋体" w:hAnsi="Calibri" w:eastAsia="宋体" w:cs="Times New Roman"/>
          <w:b/>
          <w:bCs/>
          <w:color w:val="auto"/>
          <w:kern w:val="28"/>
          <w:sz w:val="24"/>
          <w:szCs w:val="24"/>
        </w:rPr>
      </w:pPr>
    </w:p>
    <w:p>
      <w:pPr>
        <w:widowControl/>
        <w:spacing w:line="360" w:lineRule="auto"/>
        <w:ind w:firstLine="200"/>
        <w:jc w:val="left"/>
        <w:rPr>
          <w:rFonts w:ascii="宋体" w:hAnsi="Calibri" w:eastAsia="宋体" w:cs="Times New Roman"/>
          <w:b/>
          <w:bCs/>
          <w:color w:val="auto"/>
          <w:kern w:val="28"/>
          <w:sz w:val="24"/>
          <w:szCs w:val="24"/>
        </w:rPr>
      </w:pPr>
      <w:r>
        <w:rPr>
          <w:rFonts w:ascii="宋体" w:hAnsi="Calibri" w:eastAsia="宋体" w:cs="Times New Roman"/>
          <w:color w:val="auto"/>
          <w:sz w:val="24"/>
          <w:szCs w:val="24"/>
        </w:rPr>
        <w:br w:type="page"/>
      </w:r>
    </w:p>
    <w:p>
      <w:pPr>
        <w:pStyle w:val="3"/>
        <w:bidi w:val="0"/>
        <w:jc w:val="center"/>
        <w:rPr>
          <w:color w:val="auto"/>
        </w:rPr>
      </w:pPr>
      <w:bookmarkStart w:id="32" w:name="_Toc31280"/>
      <w:r>
        <w:rPr>
          <w:rFonts w:hint="eastAsia"/>
          <w:color w:val="auto"/>
        </w:rPr>
        <w:t>实验（实训）室安全管理规定</w:t>
      </w:r>
      <w:bookmarkEnd w:id="32"/>
    </w:p>
    <w:p>
      <w:pPr>
        <w:rPr>
          <w:rFonts w:ascii="Calibri" w:hAnsi="Calibri" w:eastAsia="宋体" w:cs="Times New Roman"/>
          <w:color w:val="auto"/>
        </w:rPr>
      </w:pP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一、实验（实训）室人员要严格执行实验（实训）室安全管理规定，根据各实验室具体情况建立本室的安全操作规定、防盗安全制度和防火公约。明确职责，任务落实到人。</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二、每个实验（实训）室管理员，为实验安全第一责任人，全面负责实验（实训）室的安全工作，发生事故应立即采取应急措施，及时处理和上报，重大事故要保护好现场等待处理。</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三、凡做带有危险性的实验必须有安全防护措施，并要有教师或实验技术人员的监护，否则不得进行。</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四、易燃、易爆、高压、高温、有毒、有害等危险品，按规定设专用库房，病有专人妥善保管，要严格领用手续。</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五、安全用水、电、气，不得乱拉电线；水、电、气一经使用完毕立即关闭开关；对杂物要及时清扫。</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六、不得擅自安装和使用煤气炉、电炉、电暖气和大功率加热器，因教学、科研需要时，要经主管领导批准，人员离开时要及时切断电源。</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七、消防器材和设施要放在明显的位置，经常检查，发现故障及时排除和维修，使之处于完好状态。</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八、各实验（实训）室的钥匙要加强管理，不得私自配备或转借他人。</w:t>
      </w:r>
    </w:p>
    <w:p>
      <w:pPr>
        <w:widowControl/>
        <w:spacing w:before="0" w:beforeAutospacing="0" w:after="0" w:afterAutospacing="0" w:line="360" w:lineRule="auto"/>
        <w:ind w:firstLine="480" w:firstLineChars="200"/>
        <w:jc w:val="left"/>
        <w:rPr>
          <w:rFonts w:ascii="宋体" w:hAnsi="宋体" w:eastAsia="宋体" w:cs="Times New Roman"/>
          <w:color w:val="auto"/>
          <w:kern w:val="0"/>
          <w:sz w:val="24"/>
          <w:szCs w:val="24"/>
          <w:lang w:val="en-US" w:eastAsia="zh-CN" w:bidi="ar-SA"/>
        </w:rPr>
      </w:pPr>
      <w:r>
        <w:rPr>
          <w:rFonts w:hint="eastAsia" w:ascii="宋体" w:hAnsi="宋体" w:eastAsia="宋体" w:cs="Times New Roman"/>
          <w:color w:val="auto"/>
          <w:kern w:val="0"/>
          <w:sz w:val="24"/>
          <w:szCs w:val="24"/>
          <w:lang w:val="en-US" w:eastAsia="zh-CN" w:bidi="ar-SA"/>
        </w:rPr>
        <w:t>九、教务部、二级学院开展对各实验室开学前、学期中、放假前进行安全大检查，平时实验室责任人随时检查。</w:t>
      </w:r>
    </w:p>
    <w:p>
      <w:pPr>
        <w:spacing w:line="360" w:lineRule="auto"/>
        <w:ind w:firstLine="480" w:firstLineChars="200"/>
        <w:rPr>
          <w:rFonts w:ascii="宋体" w:hAnsi="Calibri" w:eastAsia="宋体" w:cs="宋体"/>
          <w:color w:val="auto"/>
          <w:kern w:val="0"/>
          <w:sz w:val="24"/>
          <w:szCs w:val="24"/>
        </w:rPr>
      </w:pPr>
    </w:p>
    <w:p>
      <w:pPr>
        <w:spacing w:line="360" w:lineRule="auto"/>
        <w:ind w:firstLine="200"/>
        <w:rPr>
          <w:rFonts w:ascii="宋体" w:hAnsi="Calibri" w:eastAsia="宋体" w:cs="宋体"/>
          <w:color w:val="auto"/>
          <w:kern w:val="0"/>
          <w:sz w:val="24"/>
          <w:szCs w:val="24"/>
        </w:rPr>
      </w:pPr>
    </w:p>
    <w:p>
      <w:pPr>
        <w:spacing w:line="360" w:lineRule="auto"/>
        <w:ind w:firstLine="480" w:firstLineChars="200"/>
        <w:rPr>
          <w:rFonts w:ascii="宋体" w:hAnsi="Calibri" w:eastAsia="宋体" w:cs="宋体"/>
          <w:color w:val="auto"/>
          <w:kern w:val="0"/>
          <w:sz w:val="24"/>
          <w:szCs w:val="24"/>
        </w:rPr>
      </w:pPr>
    </w:p>
    <w:p>
      <w:pPr>
        <w:spacing w:line="360" w:lineRule="auto"/>
        <w:ind w:firstLine="480" w:firstLineChars="200"/>
        <w:rPr>
          <w:rFonts w:ascii="宋体" w:hAnsi="Calibri" w:eastAsia="宋体" w:cs="宋体"/>
          <w:color w:val="auto"/>
          <w:kern w:val="0"/>
          <w:sz w:val="24"/>
          <w:szCs w:val="24"/>
        </w:rPr>
      </w:pPr>
    </w:p>
    <w:p>
      <w:pPr>
        <w:spacing w:line="360" w:lineRule="auto"/>
        <w:ind w:firstLine="480" w:firstLineChars="200"/>
        <w:rPr>
          <w:rFonts w:ascii="宋体" w:hAnsi="Calibri" w:eastAsia="宋体" w:cs="宋体"/>
          <w:color w:val="auto"/>
          <w:kern w:val="0"/>
          <w:sz w:val="24"/>
          <w:szCs w:val="24"/>
        </w:rPr>
      </w:pPr>
    </w:p>
    <w:p>
      <w:pPr>
        <w:spacing w:line="360" w:lineRule="auto"/>
        <w:ind w:firstLine="480" w:firstLineChars="200"/>
        <w:rPr>
          <w:rFonts w:ascii="宋体" w:hAnsi="Calibri" w:eastAsia="宋体" w:cs="宋体"/>
          <w:color w:val="auto"/>
          <w:kern w:val="0"/>
          <w:sz w:val="24"/>
          <w:szCs w:val="24"/>
        </w:rPr>
      </w:pPr>
    </w:p>
    <w:p>
      <w:pPr>
        <w:widowControl/>
        <w:spacing w:line="360" w:lineRule="auto"/>
        <w:ind w:firstLine="200"/>
        <w:jc w:val="left"/>
        <w:rPr>
          <w:rFonts w:ascii="宋体" w:hAnsi="Calibri" w:eastAsia="宋体" w:cs="Times New Roman"/>
          <w:b/>
          <w:bCs/>
          <w:color w:val="auto"/>
          <w:kern w:val="28"/>
          <w:sz w:val="24"/>
          <w:szCs w:val="24"/>
        </w:rPr>
      </w:pPr>
    </w:p>
    <w:p>
      <w:pPr>
        <w:widowControl/>
        <w:spacing w:line="360" w:lineRule="auto"/>
        <w:ind w:firstLine="200"/>
        <w:jc w:val="left"/>
        <w:rPr>
          <w:rFonts w:ascii="宋体" w:hAnsi="Calibri" w:eastAsia="宋体" w:cs="Times New Roman"/>
          <w:b/>
          <w:bCs/>
          <w:color w:val="auto"/>
          <w:kern w:val="28"/>
          <w:sz w:val="24"/>
          <w:szCs w:val="24"/>
        </w:rPr>
      </w:pPr>
      <w:r>
        <w:rPr>
          <w:rFonts w:ascii="宋体" w:hAnsi="Calibri" w:eastAsia="宋体" w:cs="Times New Roman"/>
          <w:color w:val="auto"/>
          <w:sz w:val="24"/>
          <w:szCs w:val="24"/>
        </w:rPr>
        <w:br w:type="page"/>
      </w:r>
    </w:p>
    <w:p>
      <w:pPr>
        <w:pStyle w:val="3"/>
        <w:bidi w:val="0"/>
        <w:jc w:val="center"/>
        <w:rPr>
          <w:color w:val="auto"/>
        </w:rPr>
      </w:pPr>
      <w:bookmarkStart w:id="33" w:name="_Toc11435"/>
      <w:r>
        <w:rPr>
          <w:rFonts w:hint="eastAsia"/>
          <w:color w:val="auto"/>
        </w:rPr>
        <w:t>实验员管理办法</w:t>
      </w:r>
      <w:bookmarkEnd w:id="33"/>
    </w:p>
    <w:p>
      <w:pPr>
        <w:spacing w:line="360" w:lineRule="auto"/>
        <w:ind w:firstLine="480" w:firstLineChars="200"/>
        <w:rPr>
          <w:rFonts w:ascii="宋体" w:hAnsi="Calibri" w:eastAsia="宋体" w:cs="Times New Roman"/>
          <w:color w:val="auto"/>
          <w:sz w:val="24"/>
          <w:szCs w:val="24"/>
        </w:rPr>
      </w:pP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为了加强我院实验队伍的建设与管理，确保教学、科研工作的正常开展，特制定本办法。</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一、管理体制</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（一）实验员管理实行院、</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二级管理制度。</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负责全校实验员的宏观调控管理，负责实验员的跨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调配工作，检查督促实验员完成各项工作任务。</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负责本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实验人员管理，负责实验员的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工作安排与调配工作。在</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（实验中心）的领导下督促本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实验员完成各项工作任务。</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二、岗位职责与工作要求</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（四）实验</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列教师服从</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（实验中心）、</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、实验中心、教研室的统一管理，自觉遵守学院各项规章制度和相关实验（实训）室管理制度、服从工作安排，认真完成各项工作任务。</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（五）参加学院、</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、教研室举办的各项政治学习、业务学习和教研活动，努力钻研业务技术，为教学、科研提供优质服务，并接受相应的考核。</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（六）严格执行仪器设备管理制度。了解所购仪器、设备的用途，及时验收建帐建卡，贵重仪器设备设立技术档案，并定期清点，做到账物相符。</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爱护仪器设备，做好经常性保养、维护工作，保证仪器设备随时处于良好的工作状态。熟悉仪器设备的构造原理、性能、用途和使用方法，负责本实验（实训）室仪器、设备的管理、保养和一般故障排除、维修工作。</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（八）参加实验（实训）室的建设工作，负责做好实验（实训）室的安全管理与实验环境的保洁工作。时刻保持实验（实训）室整洁和仪器设备摆放整齐有序，做好易燃、易爆物品的管理和防火、防盗工作。</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（九）负责实验（实训）工具、器材、耗材等物品的领取、保管、发放工作，做到收支有账、账物相符。</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（十）协助制定实验仪器设备的购置、更新、维修、报废等计划和实验材料、易耗品的购置计划。</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（十一）根据任课教师的学期实验（实训）计划，制订实验（实训）室的学期工作计划。参与编写、选订实验指导书和报告书。</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（十二）掌握本学科实验（实训）项目的基本原理、方法和操作技能，密切配合任课教师，做好实验准备、实验指导和课后整理工作，参与实验（实训）考核、批改实验报告和评定实验（实训）成绩等工作。</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三）做好实验（实训）室的日常使用、日常安全检查和仪器设备使用等登记工作，教育学生严格执行实验纪律和安全操作规程，维护实验教学秩序，确保财产和人身安全。发生安全事故立即报告，并采取有效措施及时处理各种安全事故。</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（十四）具备带教资格的实验员承担至少一门实验课的带教任务，包括备课、实验准备、实验指导和批改实验报告、实验（实训）技能考试（核）等，掌握实验标本材料的制作技术。</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（十五）完成</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或教研室分配的其他工作任务。</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三、实验员培训</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（十六）实验员培训管理原则上参照学院《师资培训管理规定》执行。</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（十七）实验员培训的主要形式包括在岗培训、在职进修、脱产培训和实践锻炼等。在保证教学正常运行的前提下，按需培训，以在职为主，择优选派，考虑就近的原则。</w:t>
      </w:r>
    </w:p>
    <w:p>
      <w:pPr>
        <w:spacing w:line="360" w:lineRule="auto"/>
        <w:ind w:firstLine="480" w:firstLineChars="200"/>
        <w:rPr>
          <w:rFonts w:ascii="宋体" w:hAnsi="Calibri" w:eastAsia="宋体" w:cs="宋体"/>
          <w:color w:val="auto"/>
          <w:kern w:val="0"/>
          <w:sz w:val="24"/>
          <w:szCs w:val="24"/>
        </w:rPr>
      </w:pPr>
    </w:p>
    <w:p>
      <w:pPr>
        <w:pStyle w:val="12"/>
        <w:spacing w:before="0" w:after="0" w:line="360" w:lineRule="auto"/>
        <w:ind w:firstLine="643" w:firstLineChars="200"/>
        <w:rPr>
          <w:rFonts w:ascii="宋体" w:eastAsia="宋体" w:cs="Times New Roman"/>
          <w:color w:val="auto"/>
        </w:rPr>
      </w:pPr>
      <w:r>
        <w:rPr>
          <w:rFonts w:ascii="宋体" w:eastAsia="宋体" w:cs="Times New Roman"/>
          <w:color w:val="auto"/>
        </w:rPr>
        <w:br w:type="page"/>
      </w:r>
    </w:p>
    <w:p>
      <w:pPr>
        <w:pStyle w:val="3"/>
        <w:bidi w:val="0"/>
        <w:jc w:val="center"/>
        <w:rPr>
          <w:color w:val="auto"/>
        </w:rPr>
      </w:pPr>
      <w:bookmarkStart w:id="34" w:name="_Toc1362"/>
      <w:r>
        <w:rPr>
          <w:rFonts w:hint="eastAsia"/>
          <w:color w:val="auto"/>
        </w:rPr>
        <w:t>学生实验（实训）室行为规范</w:t>
      </w:r>
      <w:bookmarkEnd w:id="34"/>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一、学生进入实验（实训）室必须按规定着装（如穿好白大衣、帽、口罩等），不迟到，不早退。</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二、举止文明，衣冠整洁。不得穿背心、运动短裤、拖鞋进入实验（实训）室。</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实验前要认真预习，明确实验目的、方法、步骤，了解有关仪器设备的性能。进行实验时，严格遵守操作规程，以严谨的科学态度和实事求是的精神做好实验。在使用易燃、易爆、有毒、带菌等材料进行实验时，应注意防火和避免污染。</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四、保持实验（实训）室安静，不准在实验（实训）室及走廊玩耍、喧哗或从事与实验无关的活动。</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五、保持实验（实训）室整洁，不得在室内饮食、吸烟、吐痰、乱扔垃圾。禁止在实验桌、实验设备上乱涂乱画。</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六、爱护实验仪器设备和模型，未经许可，不得擅自取用；一切实验器材均应轻取轻放，保持洁净，如有损坏，必须立即报告。</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七、节约实验耗材，不浪费水电。</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八、实验完毕，应做好仪器设备的清洁和清点工作，物归原位，关好水、电、门、窗后方可离开实验（实训）室。</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35" w:name="_Toc7497"/>
      <w:r>
        <w:rPr>
          <w:rFonts w:hint="eastAsia"/>
          <w:color w:val="auto"/>
        </w:rPr>
        <w:t>考务管理制度</w:t>
      </w:r>
      <w:bookmarkEnd w:id="35"/>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第一部分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考试工作管理规定</w:t>
      </w:r>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第一章</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总则</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为建设和维护优良学风和院风，严肃考纪，端正考风，进一步规范考试工作，根据《中华人民共和国高等教育法》、《高等学校教学管理要点》（教育部高教司〔</w:t>
      </w:r>
      <w:r>
        <w:rPr>
          <w:rFonts w:ascii="宋体" w:hAnsi="宋体" w:eastAsia="宋体" w:cs="宋体"/>
          <w:color w:val="auto"/>
          <w:kern w:val="0"/>
          <w:sz w:val="24"/>
          <w:szCs w:val="24"/>
        </w:rPr>
        <w:t>1998</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33</w:t>
      </w:r>
      <w:r>
        <w:rPr>
          <w:rFonts w:hint="eastAsia" w:ascii="宋体" w:hAnsi="宋体" w:eastAsia="宋体" w:cs="宋体"/>
          <w:color w:val="auto"/>
          <w:kern w:val="0"/>
          <w:sz w:val="24"/>
          <w:szCs w:val="24"/>
        </w:rPr>
        <w:t>号）和《普通高等学校学生管理规定》（教育部第</w:t>
      </w:r>
      <w:r>
        <w:rPr>
          <w:rFonts w:ascii="宋体" w:hAnsi="宋体" w:eastAsia="宋体" w:cs="宋体"/>
          <w:color w:val="auto"/>
          <w:kern w:val="0"/>
          <w:sz w:val="24"/>
          <w:szCs w:val="24"/>
        </w:rPr>
        <w:t>21</w:t>
      </w:r>
      <w:r>
        <w:rPr>
          <w:rFonts w:hint="eastAsia" w:ascii="宋体" w:hAnsi="宋体" w:eastAsia="宋体" w:cs="宋体"/>
          <w:color w:val="auto"/>
          <w:kern w:val="0"/>
          <w:sz w:val="24"/>
          <w:szCs w:val="24"/>
        </w:rPr>
        <w:t>号令），结合我院的实际情况，特制定本管理规定。</w:t>
      </w:r>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第二章</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试卷命题</w:t>
      </w:r>
    </w:p>
    <w:p>
      <w:pPr>
        <w:widowControl/>
        <w:autoSpaceDE w:val="0"/>
        <w:autoSpaceDN w:val="0"/>
        <w:adjustRightInd w:val="0"/>
        <w:spacing w:line="360" w:lineRule="auto"/>
        <w:ind w:firstLine="482" w:firstLineChars="200"/>
        <w:jc w:val="left"/>
        <w:rPr>
          <w:rFonts w:ascii="宋体" w:hAnsi="宋体" w:eastAsia="宋体" w:cs="宋体"/>
          <w:color w:val="auto"/>
          <w:kern w:val="0"/>
          <w:sz w:val="24"/>
          <w:szCs w:val="24"/>
          <w:highlight w:val="cyan"/>
        </w:rPr>
      </w:pPr>
      <w:r>
        <w:rPr>
          <w:rFonts w:hint="eastAsia" w:ascii="宋体" w:hAnsi="宋体" w:eastAsia="宋体" w:cs="宋体"/>
          <w:b/>
          <w:bCs/>
          <w:color w:val="auto"/>
          <w:kern w:val="0"/>
          <w:sz w:val="24"/>
          <w:szCs w:val="24"/>
        </w:rPr>
        <w:t>第一条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期末考核教师不得出复习提纲，专业技能考核应在学期初通知学生考核项目、考试方法和考核标准。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教师必须根据</w:t>
      </w:r>
      <w:r>
        <w:rPr>
          <w:rFonts w:hint="eastAsia" w:ascii="宋体" w:hAnsi="宋体" w:eastAsia="宋体" w:cs="宋体"/>
          <w:color w:val="auto"/>
          <w:kern w:val="0"/>
          <w:sz w:val="24"/>
          <w:szCs w:val="24"/>
          <w:lang w:eastAsia="zh-CN"/>
        </w:rPr>
        <w:t xml:space="preserve"> 课程标准</w:t>
      </w:r>
      <w:r>
        <w:rPr>
          <w:rFonts w:hint="eastAsia" w:ascii="宋体" w:hAnsi="宋体" w:eastAsia="宋体" w:cs="宋体"/>
          <w:color w:val="auto"/>
          <w:kern w:val="0"/>
          <w:sz w:val="24"/>
          <w:szCs w:val="24"/>
        </w:rPr>
        <w:t>和考试大纲的基本要求进行命题，以贴近执业资格考试形式为宜，题量与考试时间（</w:t>
      </w:r>
      <w:r>
        <w:rPr>
          <w:rFonts w:ascii="宋体" w:hAnsi="宋体" w:eastAsia="宋体" w:cs="宋体"/>
          <w:color w:val="auto"/>
          <w:kern w:val="0"/>
          <w:sz w:val="24"/>
          <w:szCs w:val="24"/>
        </w:rPr>
        <w:t>100</w:t>
      </w:r>
      <w:r>
        <w:rPr>
          <w:rFonts w:hint="eastAsia" w:ascii="宋体" w:hAnsi="宋体" w:eastAsia="宋体" w:cs="宋体"/>
          <w:color w:val="auto"/>
          <w:kern w:val="0"/>
          <w:sz w:val="24"/>
          <w:szCs w:val="24"/>
        </w:rPr>
        <w:t>分钟）相当。</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试卷按学院统一规定格式，采用</w:t>
      </w:r>
      <w:r>
        <w:rPr>
          <w:rFonts w:ascii="宋体" w:hAnsi="宋体" w:eastAsia="宋体" w:cs="宋体"/>
          <w:color w:val="auto"/>
          <w:kern w:val="0"/>
          <w:sz w:val="24"/>
          <w:szCs w:val="24"/>
        </w:rPr>
        <w:t>Word</w:t>
      </w:r>
      <w:r>
        <w:rPr>
          <w:rFonts w:hint="eastAsia" w:ascii="宋体" w:hAnsi="宋体" w:eastAsia="宋体" w:cs="宋体"/>
          <w:color w:val="auto"/>
          <w:kern w:val="0"/>
          <w:sz w:val="24"/>
          <w:szCs w:val="24"/>
        </w:rPr>
        <w:t>文字处理软件编辑，纸张大小为</w:t>
      </w:r>
      <w:r>
        <w:rPr>
          <w:rFonts w:ascii="宋体" w:hAnsi="宋体" w:eastAsia="宋体" w:cs="宋体"/>
          <w:color w:val="auto"/>
          <w:kern w:val="0"/>
          <w:sz w:val="24"/>
          <w:szCs w:val="24"/>
        </w:rPr>
        <w:t>A4</w:t>
      </w:r>
      <w:r>
        <w:rPr>
          <w:rFonts w:hint="eastAsia" w:ascii="宋体" w:hAnsi="宋体" w:eastAsia="宋体" w:cs="宋体"/>
          <w:color w:val="auto"/>
          <w:kern w:val="0"/>
          <w:sz w:val="24"/>
          <w:szCs w:val="24"/>
        </w:rPr>
        <w:t>纸（单面打印）。</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第四条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试题应以考核学生对基础理论、基础知识、基本技能掌握的情况为重点，需有一定份量综合性、灵活性、创新性的试题。试题难易适中：易度题</w:t>
      </w:r>
      <w:r>
        <w:rPr>
          <w:rFonts w:ascii="宋体" w:hAnsi="宋体" w:eastAsia="宋体" w:cs="宋体"/>
          <w:color w:val="auto"/>
          <w:kern w:val="0"/>
          <w:sz w:val="24"/>
          <w:szCs w:val="24"/>
        </w:rPr>
        <w:t>70%</w:t>
      </w:r>
      <w:r>
        <w:rPr>
          <w:rFonts w:hint="eastAsia" w:ascii="宋体" w:hAnsi="宋体" w:eastAsia="宋体" w:cs="宋体"/>
          <w:color w:val="auto"/>
          <w:kern w:val="0"/>
          <w:sz w:val="24"/>
          <w:szCs w:val="24"/>
        </w:rPr>
        <w:t>，中等难度题</w:t>
      </w:r>
      <w:r>
        <w:rPr>
          <w:rFonts w:ascii="宋体" w:hAnsi="宋体" w:eastAsia="宋体" w:cs="宋体"/>
          <w:color w:val="auto"/>
          <w:kern w:val="0"/>
          <w:sz w:val="24"/>
          <w:szCs w:val="24"/>
        </w:rPr>
        <w:t>20%</w:t>
      </w:r>
      <w:r>
        <w:rPr>
          <w:rFonts w:hint="eastAsia" w:ascii="宋体" w:hAnsi="宋体" w:eastAsia="宋体" w:cs="宋体"/>
          <w:color w:val="auto"/>
          <w:kern w:val="0"/>
          <w:sz w:val="24"/>
          <w:szCs w:val="24"/>
        </w:rPr>
        <w:t>，难度题</w:t>
      </w:r>
      <w:r>
        <w:rPr>
          <w:rFonts w:ascii="宋体" w:hAnsi="宋体" w:eastAsia="宋体" w:cs="宋体"/>
          <w:color w:val="auto"/>
          <w:kern w:val="0"/>
          <w:sz w:val="24"/>
          <w:szCs w:val="24"/>
        </w:rPr>
        <w:t>10</w:t>
      </w:r>
      <w:r>
        <w:rPr>
          <w:rFonts w:hint="eastAsia" w:ascii="宋体" w:hAnsi="宋体" w:eastAsia="宋体" w:cs="宋体"/>
          <w:color w:val="auto"/>
          <w:kern w:val="0"/>
          <w:sz w:val="24"/>
          <w:szCs w:val="24"/>
        </w:rPr>
        <w:t>％，知识覆盖面应达</w:t>
      </w:r>
      <w:r>
        <w:rPr>
          <w:rFonts w:ascii="宋体" w:hAnsi="宋体" w:eastAsia="宋体" w:cs="宋体"/>
          <w:color w:val="auto"/>
          <w:kern w:val="0"/>
          <w:sz w:val="24"/>
          <w:szCs w:val="24"/>
        </w:rPr>
        <w:t>80</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教研室需于考前</w:t>
      </w:r>
      <w:r>
        <w:rPr>
          <w:rFonts w:ascii="宋体" w:hAnsi="宋体" w:eastAsia="宋体" w:cs="宋体"/>
          <w:color w:val="auto"/>
          <w:kern w:val="0"/>
          <w:sz w:val="24"/>
          <w:szCs w:val="24"/>
        </w:rPr>
        <w:t>6</w:t>
      </w:r>
      <w:r>
        <w:rPr>
          <w:rFonts w:hint="eastAsia" w:ascii="宋体" w:hAnsi="宋体" w:eastAsia="宋体" w:cs="宋体"/>
          <w:color w:val="auto"/>
          <w:kern w:val="0"/>
          <w:sz w:val="24"/>
          <w:szCs w:val="24"/>
        </w:rPr>
        <w:t>周提交</w:t>
      </w:r>
      <w:r>
        <w:rPr>
          <w:rFonts w:ascii="宋体" w:hAnsi="宋体" w:eastAsia="宋体" w:cs="宋体"/>
          <w:color w:val="auto"/>
          <w:kern w:val="0"/>
          <w:sz w:val="24"/>
          <w:szCs w:val="24"/>
        </w:rPr>
        <w:t>A</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B</w:t>
      </w:r>
      <w:r>
        <w:rPr>
          <w:rFonts w:hint="eastAsia" w:ascii="宋体" w:hAnsi="宋体" w:eastAsia="宋体" w:cs="宋体"/>
          <w:color w:val="auto"/>
          <w:kern w:val="0"/>
          <w:sz w:val="24"/>
          <w:szCs w:val="24"/>
        </w:rPr>
        <w:t>试卷各一套，附标准答案与评分细则，填写《试卷审批表》，经教研室主任、</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（部）主任（或教学副主任）审批后，由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（部）集中送交</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（含电子版）。</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第六条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不同专业、不同班级的同一门课程，使用统一教材及课程标准，试题可以统一，由教研室统一命题。</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第七条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组织专家对试卷进行抽查审阅。</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第八条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试卷印刷后，按各班考生人数分卷密封，并设专人保管。</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第九条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试题一经拟定，有关人员不得以任何方式泄漏试题内容，如有泄漏按教学事故处理。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color w:val="auto"/>
          <w:kern w:val="0"/>
          <w:sz w:val="24"/>
          <w:szCs w:val="24"/>
        </w:rPr>
        <w:t>第十条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试题一经上交，在未统一安排印刷前不得以任何理由要求查看试卷或要求退回试卷，如发现试卷确实有问题，必须通过</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书面申请，经</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同意方可查看或退回。</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color w:val="auto"/>
          <w:kern w:val="0"/>
          <w:sz w:val="24"/>
          <w:szCs w:val="24"/>
        </w:rPr>
        <w:t>第十一条</w:t>
      </w:r>
      <w:r>
        <w:rPr>
          <w:rFonts w:ascii="宋体" w:hAnsi="宋体" w:eastAsia="宋体" w:cs="宋体"/>
          <w:b/>
          <w:color w:val="auto"/>
          <w:kern w:val="0"/>
          <w:sz w:val="24"/>
          <w:szCs w:val="24"/>
        </w:rPr>
        <w:t xml:space="preserve"> </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若试卷已经统一印刷并封卷，有关人员发现试卷有错，由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组织人员自行印刷、订卷、封卷，交回</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将给予试卷命题人、教研组审批人、</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审批人通报批评。</w:t>
      </w:r>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第三章</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考务安排</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第十二条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考试时间依据院历安排，一经确定，不得擅自更改。</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第十三条</w:t>
      </w:r>
      <w:r>
        <w:rPr>
          <w:rFonts w:ascii="宋体" w:hAnsi="宋体" w:eastAsia="宋体" w:cs="宋体"/>
          <w:b/>
          <w:bCs/>
          <w:color w:val="auto"/>
          <w:kern w:val="0"/>
          <w:sz w:val="24"/>
          <w:szCs w:val="24"/>
        </w:rPr>
        <w:t xml:space="preserve">  </w:t>
      </w:r>
      <w:r>
        <w:rPr>
          <w:rFonts w:hint="eastAsia" w:ascii="宋体" w:hAnsi="宋体" w:eastAsia="宋体" w:cs="宋体"/>
          <w:color w:val="auto"/>
          <w:sz w:val="24"/>
          <w:szCs w:val="24"/>
          <w:lang w:eastAsia="zh-CN"/>
        </w:rPr>
        <w:t>教务部</w:t>
      </w:r>
      <w:r>
        <w:rPr>
          <w:rFonts w:hint="eastAsia" w:ascii="宋体" w:hAnsi="宋体" w:eastAsia="宋体" w:cs="宋体"/>
          <w:color w:val="auto"/>
          <w:sz w:val="24"/>
          <w:szCs w:val="24"/>
        </w:rPr>
        <w:t>负责全院考试的组织，管理与监督。</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第十四条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每个考场安排两名监考员，考生实行单人单座制。</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第十五条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（部）应向本</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（部）教师和应考学生发出通知，明确其监考和考试任务。</w:t>
      </w:r>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第四章</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考试组织</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第十六条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考试前，应做好教师监考培训工作，明确工作职责。</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第十七条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监考教师无故缺席按教学事故处理，没有按要求申请调换监考，私自调考所引起的不良后果，由原监考员负完全责任。</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第十八条</w:t>
      </w:r>
      <w:r>
        <w:rPr>
          <w:rFonts w:ascii="宋体" w:hAnsi="宋体" w:eastAsia="宋体" w:cs="宋体"/>
          <w:b/>
          <w:bCs/>
          <w:color w:val="auto"/>
          <w:kern w:val="0"/>
          <w:sz w:val="24"/>
          <w:szCs w:val="24"/>
        </w:rPr>
        <w:t xml:space="preserve"> </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监考员在监考过程中必须严格执行工作职责，如有失职行为，经核实后，按教学事故处理。</w:t>
      </w:r>
    </w:p>
    <w:p>
      <w:pPr>
        <w:autoSpaceDE w:val="0"/>
        <w:autoSpaceDN w:val="0"/>
        <w:adjustRightInd w:val="0"/>
        <w:spacing w:line="360" w:lineRule="auto"/>
        <w:ind w:firstLine="480" w:firstLineChars="200"/>
        <w:rPr>
          <w:rFonts w:ascii="宋体" w:hAnsi="Calibri" w:eastAsia="宋体" w:cs="宋体"/>
          <w:color w:val="auto"/>
          <w:sz w:val="24"/>
          <w:szCs w:val="24"/>
        </w:rPr>
      </w:pPr>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第二部分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学生考试违规处理办法</w:t>
      </w:r>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第一章</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总则</w:t>
      </w:r>
    </w:p>
    <w:p>
      <w:pPr>
        <w:autoSpaceDE w:val="0"/>
        <w:autoSpaceDN w:val="0"/>
        <w:adjustRightInd w:val="0"/>
        <w:spacing w:line="360" w:lineRule="auto"/>
        <w:ind w:firstLine="482" w:firstLineChars="200"/>
        <w:jc w:val="left"/>
        <w:rPr>
          <w:rFonts w:ascii="宋体" w:hAnsi="Calibri" w:eastAsia="宋体" w:cs="宋体"/>
          <w:color w:val="auto"/>
          <w:sz w:val="24"/>
          <w:szCs w:val="24"/>
        </w:rPr>
      </w:pPr>
      <w:r>
        <w:rPr>
          <w:rFonts w:hint="eastAsia" w:ascii="宋体" w:hAnsi="宋体" w:eastAsia="宋体" w:cs="宋体"/>
          <w:b/>
          <w:bCs/>
          <w:color w:val="auto"/>
          <w:sz w:val="24"/>
          <w:szCs w:val="24"/>
        </w:rPr>
        <w:t>第一条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为规范对考试违规行为的认定与处理，维护考试的公平、公正，保障参加考试的全体学生（以下简称考生）的合法权益，根据《中华人民共和国高等教育法》、《国家教育考试违规处理办法》、《普通高等学校学生管理规定》，结合学院实际情况，制定本办法。</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第二条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本办法所称考试是指学院、</w:t>
      </w:r>
      <w:r>
        <w:rPr>
          <w:rFonts w:hint="eastAsia" w:ascii="宋体" w:hAnsi="宋体" w:eastAsia="宋体" w:cs="宋体"/>
          <w:color w:val="auto"/>
          <w:sz w:val="24"/>
          <w:szCs w:val="24"/>
          <w:lang w:eastAsia="zh-CN"/>
        </w:rPr>
        <w:t>二级学院</w:t>
      </w:r>
      <w:r>
        <w:rPr>
          <w:rFonts w:hint="eastAsia" w:ascii="宋体" w:hAnsi="宋体" w:eastAsia="宋体" w:cs="宋体"/>
          <w:color w:val="auto"/>
          <w:sz w:val="24"/>
          <w:szCs w:val="24"/>
        </w:rPr>
        <w:t>具体组织的与考生学业有关的各种考试。</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第三条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对参加考试的考生，违反考试管理规定和考场纪律，影响考试公平、公正行为的认定与处理，适用本办法。对考试违规行为的认定与处理应当公开公平、合法适当。</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第四条</w:t>
      </w:r>
      <w:r>
        <w:rPr>
          <w:rFonts w:ascii="宋体" w:hAnsi="宋体" w:eastAsia="宋体" w:cs="宋体"/>
          <w:b/>
          <w:bCs/>
          <w:color w:val="auto"/>
          <w:sz w:val="24"/>
          <w:szCs w:val="24"/>
        </w:rPr>
        <w:t xml:space="preserve"> </w:t>
      </w:r>
      <w:r>
        <w:rPr>
          <w:rFonts w:hint="eastAsia" w:ascii="宋体" w:hAnsi="宋体" w:eastAsia="宋体" w:cs="宋体"/>
          <w:color w:val="auto"/>
          <w:sz w:val="24"/>
          <w:szCs w:val="24"/>
          <w:lang w:eastAsia="zh-CN"/>
        </w:rPr>
        <w:t>教务部</w:t>
      </w:r>
      <w:r>
        <w:rPr>
          <w:rFonts w:hint="eastAsia" w:ascii="宋体" w:hAnsi="宋体" w:eastAsia="宋体" w:cs="宋体"/>
          <w:color w:val="auto"/>
          <w:sz w:val="24"/>
          <w:szCs w:val="24"/>
        </w:rPr>
        <w:t>负责全院考试组织工作的管理与监督。依据本办法，负责对考试违规行为的认定与处理，并按学院授权范围进行处理。</w:t>
      </w:r>
    </w:p>
    <w:p>
      <w:pPr>
        <w:keepNext/>
        <w:keepLines/>
        <w:autoSpaceDE w:val="0"/>
        <w:autoSpaceDN w:val="0"/>
        <w:adjustRightInd w:val="0"/>
        <w:spacing w:line="360" w:lineRule="auto"/>
        <w:ind w:firstLine="482" w:firstLineChars="200"/>
        <w:jc w:val="center"/>
        <w:rPr>
          <w:rFonts w:ascii="宋体" w:hAnsi="Calibri" w:eastAsia="宋体" w:cs="Cambria"/>
          <w:b/>
          <w:bCs/>
          <w:color w:val="auto"/>
          <w:sz w:val="24"/>
          <w:szCs w:val="24"/>
        </w:rPr>
      </w:pPr>
      <w:r>
        <w:rPr>
          <w:rFonts w:hint="eastAsia" w:ascii="宋体" w:hAnsi="宋体" w:eastAsia="宋体" w:cs="宋体"/>
          <w:b/>
          <w:bCs/>
          <w:color w:val="auto"/>
          <w:sz w:val="24"/>
          <w:szCs w:val="24"/>
        </w:rPr>
        <w:t>第二章</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违规行为的认定与处理</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第五条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有下列情况之一的，应当认定为一般考试违纪：</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（一）未按指定位置就座或不服从监考人员安排与指导，扰乱考场秩序的。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（二）不携带学生证或身份证或其他有效证件参加考试的。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（三）至发试卷时仍将与考试内容相关的资料或者存储有与考试内容相关资料的电子设备（含电子辞典、掌上电脑、电子记事本、有文字存储功能的计算器、通讯设备等，下同）留在座位或桌内的。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（四）考试前桌面上有与考试内容相关的文字、公式等未向监考人员报告的。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（五）考试前在桌内、座位上、桌面上发现有非监考人员所发的答题纸或草稿纸的。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（六）考试过程中旁窥、交头接耳、互打暗号初犯的。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（七）开卷考试中借用他人的书籍、笔记、资料、计算器等物品初犯的。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（八）未经监考人员同意互借文具的。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（九）其他违反考场规则的行为。</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第六条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考生不服从考试工作人员的安排与要求，有下列行为之一的，应当认定为严重考试违纪：</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（一）携带规定以外的物品参加考试或者考试时未放在指定位置的。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（二）未在规定的座位参加考试的。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（三）考试开始信号发出前答题或者考试结束信号发出后继续答题的。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（四）在考试过程中旁窥、交头接耳、互打暗号重犯的。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（五）开卷考试中借用他人的书籍、笔记、资料、计算器等物品重犯的。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（六）在考场禁止的范围内，喧哗、吸烟或者实施其他影响考场秩序的行为的。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（七）未经考试工作人员同意在考试过程中擅自离开考场的。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（八）将试卷、答卷（含答题卡、答题纸等，下同）、草稿纸等考试用纸带出考场的。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（九）其他违反考场纪律但尚未构成作弊的行为。</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第七条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考生违背考试公平、公正原则，以不正当手段获得或者试图获得试题答案、考试成绩，有下列行为之一的，应当认定为考试作弊：</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（一）在闭卷考试中携（夹）带与考试内容相关的材料（含书籍、讲义、笔记本、写有考试内容的纸张等）或者存储有与考试内容相关资料的电子设备参加考试的。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（二）抄袭或者协助他人抄袭试题答案或者与考试内容相关的资料的。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（三）抢夺、窃取他人试卷、答卷或者胁迫他人为自己抄袭提供方便的。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（四）在答卷上填写与本人身份不符的姓名等信息的。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（五）交换试卷、答卷、草稿纸的。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（六）故意销毁试卷、答卷或者考试材料的。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（七）在考试过程中使用通讯设备的。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（八）由他人冒名代替参加考试的。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（九）其他作弊行为。</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第八条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考试过程中或者在考试结束后发现下列行为之一的，应当认定相关的考生实施了考试作弊行为：</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（一）通过伪造证件、证明、档案及其他材料获得考试资格和考试成绩的。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（二）考试工作人员协助实施作弊行为，事后查实的。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（三）以央求、送礼、请客、威胁等手段要求老师提分、加分或隐瞒违纪作弊事实者，事后查实的。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（四）其他应认定为作弊的行为。</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第九条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考生及其他人员应当自觉维护考试工作场所的秩序，服从考试工作人员的管理，不得有下列扰乱考场及考试工作场所秩序的行为：</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（一）故意扰乱考点、考场、评卷场所秩序。</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（二）拒绝、妨碍监考人员履行管理职责。</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（三）威胁、侮辱、诽谤、诬陷考试工作人员或其他考生。</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（四）其他扰乱考试管理秩序的行为。</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有第五条所列不遵守考试纪律行为之一的，监考及巡视人员应当场给予警告并予以纠正；情节严重的，给予通报批评处分。考生有第六条所列考试违纪行为之一的，取消该科目（课程）的考试成绩，同时给予警告的处分。考生有第七条所列考试作弊行为之一的，取消该科目（课程）正常补考机会；同时视情节轻重，给予严重警告或记过处分；属于第七条第八点的行为，终止其继续参加本学期剩余科目（课程）考试的资格并取消该科目（课程）正常补考机会。考生有第八条所列考试作弊行为之一的，取消该科目（课程）正常补考机会；同时，视情节轻重，给予记过及以上处分。</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第十一条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有第九条所列行为之一的，应当终止其继续参加本学期剩余科目（课程）考试的资格；考生及其他人员的行为违反《治安管理处罚条例》的，建议提交公安机关进行处理，构成犯罪的，按照法律程序移交司法机关处理。</w:t>
      </w:r>
    </w:p>
    <w:p>
      <w:pPr>
        <w:autoSpaceDE w:val="0"/>
        <w:autoSpaceDN w:val="0"/>
        <w:adjustRightInd w:val="0"/>
        <w:spacing w:line="360" w:lineRule="auto"/>
        <w:ind w:firstLine="482" w:firstLineChars="200"/>
        <w:jc w:val="left"/>
        <w:rPr>
          <w:rFonts w:ascii="宋体" w:hAnsi="宋体" w:eastAsia="宋体" w:cs="宋体"/>
          <w:color w:val="auto"/>
          <w:sz w:val="24"/>
          <w:szCs w:val="24"/>
        </w:rPr>
      </w:pPr>
      <w:r>
        <w:rPr>
          <w:rFonts w:hint="eastAsia" w:ascii="宋体" w:hAnsi="宋体" w:eastAsia="宋体" w:cs="宋体"/>
          <w:b/>
          <w:bCs/>
          <w:color w:val="auto"/>
          <w:sz w:val="24"/>
          <w:szCs w:val="24"/>
        </w:rPr>
        <w:t>第十二条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考生以作弊行为获得的考试成绩并由此取得了相应的学历证书、其他学业证书、资格资质证书或者入学资格的，一旦有人实名举报，且查有实证，由学院宣布证书无效，责令收回证书或者予以没收。</w:t>
      </w:r>
    </w:p>
    <w:p>
      <w:pPr>
        <w:autoSpaceDE w:val="0"/>
        <w:autoSpaceDN w:val="0"/>
        <w:adjustRightInd w:val="0"/>
        <w:spacing w:line="360" w:lineRule="auto"/>
        <w:ind w:firstLine="482" w:firstLineChars="200"/>
        <w:jc w:val="center"/>
        <w:rPr>
          <w:rFonts w:ascii="宋体" w:hAnsi="Calibri" w:eastAsia="宋体" w:cs="宋体"/>
          <w:color w:val="auto"/>
          <w:sz w:val="24"/>
          <w:szCs w:val="24"/>
        </w:rPr>
      </w:pPr>
      <w:r>
        <w:rPr>
          <w:rFonts w:hint="eastAsia" w:ascii="宋体" w:hAnsi="宋体" w:eastAsia="宋体" w:cs="宋体"/>
          <w:b/>
          <w:bCs/>
          <w:color w:val="auto"/>
          <w:sz w:val="24"/>
          <w:szCs w:val="24"/>
        </w:rPr>
        <w:t>第三章</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违规行为认定与处理程序</w:t>
      </w:r>
    </w:p>
    <w:p>
      <w:pPr>
        <w:autoSpaceDE w:val="0"/>
        <w:autoSpaceDN w:val="0"/>
        <w:adjustRightInd w:val="0"/>
        <w:spacing w:line="360" w:lineRule="auto"/>
        <w:ind w:firstLine="482" w:firstLineChars="200"/>
        <w:jc w:val="left"/>
        <w:rPr>
          <w:rFonts w:ascii="宋体" w:hAnsi="Calibri" w:eastAsia="宋体" w:cs="宋体"/>
          <w:color w:val="auto"/>
          <w:sz w:val="24"/>
          <w:szCs w:val="24"/>
        </w:rPr>
      </w:pPr>
      <w:r>
        <w:rPr>
          <w:rFonts w:hint="eastAsia" w:ascii="宋体" w:hAnsi="宋体" w:eastAsia="宋体" w:cs="宋体"/>
          <w:b/>
          <w:bCs/>
          <w:color w:val="auto"/>
          <w:sz w:val="24"/>
          <w:szCs w:val="24"/>
        </w:rPr>
        <w:t xml:space="preserve">第十三条 </w:t>
      </w:r>
      <w:r>
        <w:rPr>
          <w:rFonts w:hint="eastAsia" w:ascii="宋体" w:hAnsi="宋体" w:eastAsia="宋体" w:cs="宋体"/>
          <w:color w:val="auto"/>
          <w:sz w:val="24"/>
          <w:szCs w:val="24"/>
        </w:rPr>
        <w:t>考试工作人员在考试过程中发现考生实施本办法第五条、第六条、第七条所列考试违纪、作弊行为的，应当及时予以纠正并如实记录；对考生用于作弊的材料、工具等，应予暂扣。考生违规记录作为认定考生违规事实的依据，应当由发现作弊的人员（如监考教师、考场巡视员等）签字确认，并向违纪考生告知违规记录的内容，对暂扣的考生物品应填写收据。</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第十四条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发现本办法第八条、第九条所列行为者，应当由两名以上（含两名）工作人员进行事实调查、收集、保存相应的证据材料，并在调查事实和证据的基础上，对所涉及考生的违规行为进行认定。</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第十五条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考生在考试中，出现第五条、第六条所列考试违纪行为的，由</w:t>
      </w:r>
      <w:r>
        <w:rPr>
          <w:rFonts w:hint="eastAsia" w:ascii="宋体" w:hAnsi="宋体" w:eastAsia="宋体" w:cs="宋体"/>
          <w:color w:val="auto"/>
          <w:sz w:val="24"/>
          <w:szCs w:val="24"/>
          <w:lang w:eastAsia="zh-CN"/>
        </w:rPr>
        <w:t>教务部</w:t>
      </w:r>
      <w:r>
        <w:rPr>
          <w:rFonts w:hint="eastAsia" w:ascii="宋体" w:hAnsi="宋体" w:eastAsia="宋体" w:cs="宋体"/>
          <w:color w:val="auto"/>
          <w:sz w:val="24"/>
          <w:szCs w:val="24"/>
        </w:rPr>
        <w:t>根据</w:t>
      </w:r>
      <w:r>
        <w:rPr>
          <w:rFonts w:hint="eastAsia" w:ascii="宋体" w:hAnsi="宋体" w:eastAsia="宋体" w:cs="宋体"/>
          <w:color w:val="auto"/>
          <w:sz w:val="24"/>
          <w:szCs w:val="24"/>
          <w:lang w:eastAsia="zh-CN"/>
        </w:rPr>
        <w:t>二级学院</w:t>
      </w:r>
      <w:r>
        <w:rPr>
          <w:rFonts w:hint="eastAsia" w:ascii="宋体" w:hAnsi="宋体" w:eastAsia="宋体" w:cs="宋体"/>
          <w:color w:val="auto"/>
          <w:sz w:val="24"/>
          <w:szCs w:val="24"/>
        </w:rPr>
        <w:t>（部）签署的意见做出处理决定；出现第七条、第八条所列考试作弊行为的，由</w:t>
      </w:r>
      <w:r>
        <w:rPr>
          <w:rFonts w:hint="eastAsia" w:ascii="宋体" w:hAnsi="宋体" w:eastAsia="宋体" w:cs="宋体"/>
          <w:color w:val="auto"/>
          <w:sz w:val="24"/>
          <w:szCs w:val="24"/>
          <w:lang w:eastAsia="zh-CN"/>
        </w:rPr>
        <w:t>二级学院</w:t>
      </w:r>
      <w:r>
        <w:rPr>
          <w:rFonts w:hint="eastAsia" w:ascii="宋体" w:hAnsi="宋体" w:eastAsia="宋体" w:cs="宋体"/>
          <w:color w:val="auto"/>
          <w:sz w:val="24"/>
          <w:szCs w:val="24"/>
        </w:rPr>
        <w:t>（部）签署意见，</w:t>
      </w:r>
      <w:r>
        <w:rPr>
          <w:rFonts w:hint="eastAsia" w:ascii="宋体" w:hAnsi="宋体" w:eastAsia="宋体" w:cs="宋体"/>
          <w:color w:val="auto"/>
          <w:sz w:val="24"/>
          <w:szCs w:val="24"/>
          <w:lang w:eastAsia="zh-CN"/>
        </w:rPr>
        <w:t>教务部</w:t>
      </w:r>
      <w:r>
        <w:rPr>
          <w:rFonts w:hint="eastAsia" w:ascii="宋体" w:hAnsi="宋体" w:eastAsia="宋体" w:cs="宋体"/>
          <w:color w:val="auto"/>
          <w:sz w:val="24"/>
          <w:szCs w:val="24"/>
        </w:rPr>
        <w:t>报送学院处理；出现本办法第九条所列扰乱考试秩序行为的，由</w:t>
      </w:r>
      <w:r>
        <w:rPr>
          <w:rFonts w:hint="eastAsia" w:ascii="宋体" w:hAnsi="宋体" w:eastAsia="宋体" w:cs="宋体"/>
          <w:color w:val="auto"/>
          <w:sz w:val="24"/>
          <w:szCs w:val="24"/>
          <w:lang w:eastAsia="zh-CN"/>
        </w:rPr>
        <w:t>教务部</w:t>
      </w:r>
      <w:r>
        <w:rPr>
          <w:rFonts w:hint="eastAsia" w:ascii="宋体" w:hAnsi="宋体" w:eastAsia="宋体" w:cs="宋体"/>
          <w:color w:val="auto"/>
          <w:sz w:val="24"/>
          <w:szCs w:val="24"/>
        </w:rPr>
        <w:t>、学生处、保卫处联合处理；对考生及其他人员违反治安管理法律法规的行为，由保卫处会同公安部门处理；评卷过程中发现考生有本办法第八条所列考试作弊行为的，由</w:t>
      </w:r>
      <w:r>
        <w:rPr>
          <w:rFonts w:hint="eastAsia" w:ascii="宋体" w:hAnsi="宋体" w:eastAsia="宋体" w:cs="宋体"/>
          <w:color w:val="auto"/>
          <w:sz w:val="24"/>
          <w:szCs w:val="24"/>
          <w:lang w:eastAsia="zh-CN"/>
        </w:rPr>
        <w:t>教务部</w:t>
      </w:r>
      <w:r>
        <w:rPr>
          <w:rFonts w:hint="eastAsia" w:ascii="宋体" w:hAnsi="宋体" w:eastAsia="宋体" w:cs="宋体"/>
          <w:color w:val="auto"/>
          <w:sz w:val="24"/>
          <w:szCs w:val="24"/>
        </w:rPr>
        <w:t>做出处理决定。</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第十六条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在其他与考试相关的场所违反有关规定的考生，由</w:t>
      </w:r>
      <w:r>
        <w:rPr>
          <w:rFonts w:hint="eastAsia" w:ascii="宋体" w:hAnsi="宋体" w:eastAsia="宋体" w:cs="宋体"/>
          <w:color w:val="auto"/>
          <w:sz w:val="24"/>
          <w:szCs w:val="24"/>
          <w:lang w:eastAsia="zh-CN"/>
        </w:rPr>
        <w:t>教务部</w:t>
      </w:r>
      <w:r>
        <w:rPr>
          <w:rFonts w:hint="eastAsia" w:ascii="宋体" w:hAnsi="宋体" w:eastAsia="宋体" w:cs="宋体"/>
          <w:color w:val="auto"/>
          <w:sz w:val="24"/>
          <w:szCs w:val="24"/>
        </w:rPr>
        <w:t>做出处理决定。</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第十七条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学院在对考试违规的学生做出处理决定前，应当复核违规事实和相关证据，告知被处理人及其所在</w:t>
      </w:r>
      <w:r>
        <w:rPr>
          <w:rFonts w:hint="eastAsia" w:ascii="宋体" w:hAnsi="宋体" w:eastAsia="宋体" w:cs="宋体"/>
          <w:color w:val="auto"/>
          <w:sz w:val="24"/>
          <w:szCs w:val="24"/>
          <w:lang w:eastAsia="zh-CN"/>
        </w:rPr>
        <w:t>二级学院</w:t>
      </w:r>
      <w:r>
        <w:rPr>
          <w:rFonts w:hint="eastAsia" w:ascii="宋体" w:hAnsi="宋体" w:eastAsia="宋体" w:cs="宋体"/>
          <w:color w:val="auto"/>
          <w:sz w:val="24"/>
          <w:szCs w:val="24"/>
        </w:rPr>
        <w:t>（部）做出处理决定的理由和依据；被处理人及其所在</w:t>
      </w:r>
      <w:r>
        <w:rPr>
          <w:rFonts w:hint="eastAsia" w:ascii="宋体" w:hAnsi="宋体" w:eastAsia="宋体" w:cs="宋体"/>
          <w:color w:val="auto"/>
          <w:sz w:val="24"/>
          <w:szCs w:val="24"/>
          <w:lang w:eastAsia="zh-CN"/>
        </w:rPr>
        <w:t>二级学院</w:t>
      </w:r>
      <w:r>
        <w:rPr>
          <w:rFonts w:hint="eastAsia" w:ascii="宋体" w:hAnsi="宋体" w:eastAsia="宋体" w:cs="宋体"/>
          <w:color w:val="auto"/>
          <w:sz w:val="24"/>
          <w:szCs w:val="24"/>
        </w:rPr>
        <w:t>对所认定的违规事实认定存在异议的，应当给予其陈述和申辩的机会。</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第十八条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学院做出处理决定应出具考试违规处理决定书，载明被处理人的姓名、处理事实根据和法律依据、处理决定的内容、申辩途径以及做出处理决定的机构名称和做出处理决定的时间。考试违规处理决定书应当及时送达被处理人。</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第十九条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考生对学院做出的违规处理决定不服的，可以在收到处理决定之日起十五日内，向学院提出复核申请。</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sz w:val="24"/>
          <w:szCs w:val="24"/>
        </w:rPr>
        <w:t>第二十条</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受理复核申请后，学院应对处理决定所认定的违规事实和适用的依据等进行审查，并在受理后三十日内，按照下列规定做出复核决定：</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（一）处理决定认定事实清楚、证据确凿，适用依据正确，程序合法，内容适当的，决定维持。</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（二）处理决定有下列情况之一的，决定撤销或者变更：</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ascii="宋体" w:hAnsi="宋体" w:eastAsia="宋体" w:cs="宋体"/>
          <w:color w:val="auto"/>
          <w:sz w:val="24"/>
          <w:szCs w:val="24"/>
        </w:rPr>
        <w:t>1</w:t>
      </w:r>
      <w:r>
        <w:rPr>
          <w:rFonts w:hint="eastAsia" w:ascii="宋体" w:hAnsi="宋体" w:eastAsia="宋体" w:cs="宋体"/>
          <w:color w:val="auto"/>
          <w:sz w:val="24"/>
          <w:szCs w:val="24"/>
        </w:rPr>
        <w:t>．违规事实认定不清、证据不足的。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ascii="宋体" w:hAnsi="宋体" w:eastAsia="宋体" w:cs="宋体"/>
          <w:color w:val="auto"/>
          <w:sz w:val="24"/>
          <w:szCs w:val="24"/>
        </w:rPr>
        <w:t>2</w:t>
      </w:r>
      <w:r>
        <w:rPr>
          <w:rFonts w:hint="eastAsia" w:ascii="宋体" w:hAnsi="宋体" w:eastAsia="宋体" w:cs="宋体"/>
          <w:color w:val="auto"/>
          <w:sz w:val="24"/>
          <w:szCs w:val="24"/>
        </w:rPr>
        <w:t>．适用依据错误的。</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ascii="宋体" w:hAnsi="宋体" w:eastAsia="宋体" w:cs="宋体"/>
          <w:color w:val="auto"/>
          <w:sz w:val="24"/>
          <w:szCs w:val="24"/>
        </w:rPr>
        <w:t>3</w:t>
      </w:r>
      <w:r>
        <w:rPr>
          <w:rFonts w:hint="eastAsia" w:ascii="宋体" w:hAnsi="宋体" w:eastAsia="宋体" w:cs="宋体"/>
          <w:color w:val="auto"/>
          <w:sz w:val="24"/>
          <w:szCs w:val="24"/>
        </w:rPr>
        <w:t>． 违反本办法规定的处理程序的。对因错误的处理决定给考生造成的损失，应当予以补救。</w:t>
      </w:r>
    </w:p>
    <w:p>
      <w:pPr>
        <w:autoSpaceDE w:val="0"/>
        <w:autoSpaceDN w:val="0"/>
        <w:adjustRightInd w:val="0"/>
        <w:spacing w:line="360" w:lineRule="auto"/>
        <w:ind w:firstLine="482" w:firstLineChars="200"/>
        <w:jc w:val="center"/>
        <w:rPr>
          <w:rFonts w:ascii="宋体" w:hAnsi="宋体" w:eastAsia="宋体" w:cs="宋体"/>
          <w:color w:val="auto"/>
          <w:sz w:val="24"/>
          <w:szCs w:val="24"/>
        </w:rPr>
      </w:pPr>
      <w:r>
        <w:rPr>
          <w:rFonts w:hint="eastAsia" w:ascii="宋体" w:hAnsi="宋体" w:eastAsia="宋体" w:cs="宋体"/>
          <w:b/>
          <w:bCs/>
          <w:color w:val="auto"/>
          <w:sz w:val="24"/>
          <w:szCs w:val="24"/>
        </w:rPr>
        <w:t>第二十一条</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申请人对复核决定或者处理决定不服的，可以依据《行政复议法》和《行政诉讼法》的有关规定，申请行政复议或者行政诉讼。</w:t>
      </w:r>
    </w:p>
    <w:p>
      <w:pPr>
        <w:autoSpaceDE w:val="0"/>
        <w:autoSpaceDN w:val="0"/>
        <w:adjustRightInd w:val="0"/>
        <w:spacing w:line="360" w:lineRule="auto"/>
        <w:ind w:firstLine="482" w:firstLineChars="200"/>
        <w:jc w:val="center"/>
        <w:rPr>
          <w:rFonts w:ascii="宋体" w:hAnsi="Calibri" w:eastAsia="宋体" w:cs="宋体"/>
          <w:color w:val="auto"/>
          <w:sz w:val="24"/>
          <w:szCs w:val="24"/>
        </w:rPr>
      </w:pPr>
      <w:r>
        <w:rPr>
          <w:rFonts w:hint="eastAsia" w:ascii="宋体" w:hAnsi="宋体" w:eastAsia="宋体" w:cs="宋体"/>
          <w:b/>
          <w:bCs/>
          <w:color w:val="auto"/>
          <w:sz w:val="24"/>
          <w:szCs w:val="24"/>
        </w:rPr>
        <w:t>第四章附则</w:t>
      </w:r>
    </w:p>
    <w:p>
      <w:pPr>
        <w:autoSpaceDE w:val="0"/>
        <w:autoSpaceDN w:val="0"/>
        <w:adjustRightInd w:val="0"/>
        <w:spacing w:line="360" w:lineRule="auto"/>
        <w:ind w:firstLine="482" w:firstLineChars="200"/>
        <w:jc w:val="left"/>
        <w:rPr>
          <w:rFonts w:ascii="宋体" w:hAnsi="Calibri" w:eastAsia="宋体" w:cs="宋体"/>
          <w:color w:val="auto"/>
          <w:sz w:val="24"/>
          <w:szCs w:val="24"/>
        </w:rPr>
      </w:pPr>
      <w:r>
        <w:rPr>
          <w:rFonts w:hint="eastAsia" w:ascii="宋体" w:hAnsi="宋体" w:eastAsia="宋体" w:cs="宋体"/>
          <w:b/>
          <w:bCs/>
          <w:color w:val="auto"/>
          <w:sz w:val="24"/>
          <w:szCs w:val="24"/>
        </w:rPr>
        <w:t>第二十二条</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本办法所称考场是指实施考试的封闭空间；所称考点是指设置若干考场独立进行考务活动的特定场所。</w:t>
      </w:r>
    </w:p>
    <w:p>
      <w:pPr>
        <w:autoSpaceDE w:val="0"/>
        <w:autoSpaceDN w:val="0"/>
        <w:adjustRightInd w:val="0"/>
        <w:spacing w:line="360" w:lineRule="auto"/>
        <w:ind w:firstLine="480" w:firstLineChars="200"/>
        <w:rPr>
          <w:rFonts w:ascii="宋体" w:hAnsi="Calibri" w:eastAsia="宋体" w:cs="宋体"/>
          <w:color w:val="auto"/>
          <w:sz w:val="24"/>
          <w:szCs w:val="24"/>
        </w:rPr>
      </w:pPr>
    </w:p>
    <w:p>
      <w:pPr>
        <w:autoSpaceDE w:val="0"/>
        <w:autoSpaceDN w:val="0"/>
        <w:adjustRightInd w:val="0"/>
        <w:spacing w:line="360" w:lineRule="auto"/>
        <w:ind w:firstLine="482" w:firstLineChars="200"/>
        <w:jc w:val="center"/>
        <w:rPr>
          <w:rFonts w:ascii="宋体" w:hAnsi="Calibri" w:eastAsia="宋体" w:cs="宋体"/>
          <w:color w:val="auto"/>
          <w:sz w:val="24"/>
          <w:szCs w:val="24"/>
        </w:rPr>
      </w:pPr>
      <w:r>
        <w:rPr>
          <w:rFonts w:hint="eastAsia" w:ascii="宋体" w:hAnsi="宋体" w:eastAsia="宋体" w:cs="宋体"/>
          <w:b/>
          <w:bCs/>
          <w:color w:val="auto"/>
          <w:sz w:val="24"/>
          <w:szCs w:val="24"/>
        </w:rPr>
        <w:t>第三部分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课程考核与成绩管理办法</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为规范教学管理，完善学生成绩考核机制，特制定我院学生课程考核及成绩管理办法。</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第一条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考务组织领导</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由院长、主管教学副院长、</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长、各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（部）主任组成，其职责是对学院、各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（部）考务工作进行监督、检查和评定，具体工作由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负责。</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成绩考核要求</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（一）凡教学计划内规定的课程（包括理论、实验、实习等实践教育环节）都应进行考核。学生必须按规定参加考试后，才能取得成绩。</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（二）学生若出现下列情况之一，不得参加考试，该学期考试成绩记</w:t>
      </w:r>
      <w:r>
        <w:rPr>
          <w:rFonts w:ascii="宋体" w:hAnsi="Calibri" w:eastAsia="宋体" w:cs="宋体"/>
          <w:color w:val="auto"/>
          <w:kern w:val="0"/>
          <w:sz w:val="24"/>
          <w:szCs w:val="24"/>
        </w:rPr>
        <w:t>0</w:t>
      </w:r>
      <w:r>
        <w:rPr>
          <w:rFonts w:hint="eastAsia" w:ascii="宋体" w:hAnsi="宋体" w:eastAsia="宋体" w:cs="宋体"/>
          <w:color w:val="auto"/>
          <w:kern w:val="0"/>
          <w:sz w:val="24"/>
          <w:szCs w:val="24"/>
        </w:rPr>
        <w:t>分。</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1</w:t>
      </w:r>
      <w:r>
        <w:rPr>
          <w:rFonts w:hint="eastAsia" w:ascii="宋体" w:hAnsi="宋体" w:eastAsia="宋体" w:cs="宋体"/>
          <w:color w:val="auto"/>
          <w:kern w:val="0"/>
          <w:sz w:val="24"/>
          <w:szCs w:val="24"/>
        </w:rPr>
        <w:t>、一门课程累计缺课达到该课程学期计划数三分之一者。</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、一门课程缺作业、实验报告或作业、实验报告不合格达到三分之一者。</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有上述情况的学生，任课教师必须在课程结束前一周通知学生、</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（部），并由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（部）统一将取消考试资格的学生名单于考前一周上报</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。不准参加考试的学生，若擅自参加考试成绩无效。</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（三）考试期间学生一般不能请假，因病请假必须先申请，并附医院证明，经班主任（辅导员）、</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批准后送</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备案后方可缓考。缓考学生给一次补考机会，缓考学生名单，各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（部）必须及时通知任课教师和</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。延缓考试时间一般与正常补考时间相同。</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（四）凡擅自缺考者，该课程成绩计零分，不准正常补考，确有悔改表现，经本人提出申请，</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批准在毕业前可给一次补考机会。</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成绩考核方式</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课程成绩考试分考试和考查两种，依据教学计划确定。</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 考试一般以闭卷、笔试为主。根据课程性质不同，个别课程可由教研室提出申请，经</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主任、</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批准，可采用机考或其他信息化手段考核。</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 考查主要通过课外作业、课堂讨论、小测试、试验、实验报告等过程性考核方式进行，小测试不得事先通知学生准备，时间为</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2</w:t>
      </w:r>
      <w:r>
        <w:rPr>
          <w:rFonts w:hint="eastAsia" w:ascii="宋体" w:hAnsi="宋体" w:eastAsia="宋体" w:cs="宋体"/>
          <w:color w:val="auto"/>
          <w:kern w:val="0"/>
          <w:sz w:val="24"/>
          <w:szCs w:val="24"/>
        </w:rPr>
        <w:t>节课。教师对学生课外作业、实验报告等要认真批阅，以判断学生独立完成的程度和对所学知识的掌握程度。</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 毕业实习成绩，一般根据实习工作态度、实际操作、实习总结、实习单位评定的方式进行综合考核。</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第四条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成绩评定</w:t>
      </w:r>
    </w:p>
    <w:p>
      <w:pPr>
        <w:widowControl/>
        <w:autoSpaceDE w:val="0"/>
        <w:autoSpaceDN w:val="0"/>
        <w:adjustRightInd w:val="0"/>
        <w:spacing w:line="360" w:lineRule="auto"/>
        <w:ind w:firstLine="480" w:firstLineChars="200"/>
        <w:jc w:val="left"/>
        <w:rPr>
          <w:rFonts w:ascii="宋体" w:hAnsi="Calibri" w:eastAsia="宋体" w:cs="宋体"/>
          <w:b/>
          <w:bCs/>
          <w:color w:val="auto"/>
          <w:kern w:val="0"/>
          <w:sz w:val="24"/>
          <w:szCs w:val="24"/>
        </w:rPr>
      </w:pPr>
      <w:r>
        <w:rPr>
          <w:rFonts w:hint="eastAsia" w:ascii="宋体" w:hAnsi="宋体" w:eastAsia="宋体" w:cs="宋体"/>
          <w:color w:val="auto"/>
          <w:kern w:val="0"/>
          <w:sz w:val="24"/>
          <w:szCs w:val="24"/>
        </w:rPr>
        <w:t>（一） 考试成绩用百分制，课程考核成绩以学期期末考核成绩为主，适当参考平时成绩（平时成绩是学生平时上课出勤、完成作业、课堂讨论、单元测验、实验等），平时成绩一般占总成绩</w:t>
      </w:r>
      <w:r>
        <w:rPr>
          <w:rFonts w:ascii="宋体" w:hAnsi="宋体" w:eastAsia="宋体" w:cs="宋体"/>
          <w:color w:val="auto"/>
          <w:kern w:val="0"/>
          <w:sz w:val="24"/>
          <w:szCs w:val="24"/>
        </w:rPr>
        <w:t>40%</w:t>
      </w:r>
      <w:r>
        <w:rPr>
          <w:rFonts w:hint="eastAsia" w:ascii="宋体" w:hAnsi="宋体" w:eastAsia="宋体" w:cs="宋体"/>
          <w:color w:val="auto"/>
          <w:kern w:val="0"/>
          <w:sz w:val="24"/>
          <w:szCs w:val="24"/>
        </w:rPr>
        <w:t>，期末考试成绩一般占总成绩</w:t>
      </w:r>
      <w:r>
        <w:rPr>
          <w:rFonts w:ascii="宋体" w:hAnsi="宋体" w:eastAsia="宋体" w:cs="宋体"/>
          <w:color w:val="auto"/>
          <w:kern w:val="0"/>
          <w:sz w:val="24"/>
          <w:szCs w:val="24"/>
        </w:rPr>
        <w:t>60%</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 考试科目的试卷评定采取统一答案、统一标准方式处理。</w:t>
      </w:r>
    </w:p>
    <w:p>
      <w:pPr>
        <w:widowControl/>
        <w:autoSpaceDE w:val="0"/>
        <w:autoSpaceDN w:val="0"/>
        <w:adjustRightInd w:val="0"/>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（三） 学生成绩的登记、统计一律由教师本人进行，统计好的</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成绩登记表</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于考核结束后五天内报教研室，各教研室审核后报至</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（部）复审汇总后报</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。如无正当理由迟交超过两天按五级教学事故处理。</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（四） 学生对本人成绩有疑问</w:t>
      </w:r>
      <w:r>
        <w:rPr>
          <w:rFonts w:hint="eastAsia" w:ascii="宋体" w:hAnsi="宋体" w:eastAsia="宋体" w:cs="宋体"/>
          <w:color w:val="auto"/>
          <w:sz w:val="24"/>
          <w:szCs w:val="24"/>
        </w:rPr>
        <w:t>需复查试卷的</w:t>
      </w:r>
      <w:r>
        <w:rPr>
          <w:rFonts w:hint="eastAsia" w:ascii="宋体" w:hAnsi="宋体" w:eastAsia="宋体" w:cs="宋体"/>
          <w:color w:val="auto"/>
          <w:kern w:val="0"/>
          <w:sz w:val="24"/>
          <w:szCs w:val="24"/>
        </w:rPr>
        <w:t>，</w:t>
      </w:r>
      <w:r>
        <w:rPr>
          <w:rFonts w:hint="eastAsia" w:ascii="宋体" w:hAnsi="宋体" w:eastAsia="宋体" w:cs="宋体"/>
          <w:color w:val="auto"/>
          <w:sz w:val="24"/>
          <w:szCs w:val="24"/>
        </w:rPr>
        <w:t>按本办法</w:t>
      </w:r>
      <w:r>
        <w:rPr>
          <w:rFonts w:hint="eastAsia" w:ascii="宋体" w:hAnsi="Calibri" w:eastAsia="宋体" w:cs="宋体"/>
          <w:color w:val="auto"/>
          <w:sz w:val="24"/>
          <w:szCs w:val="24"/>
        </w:rPr>
        <w:t>“</w:t>
      </w:r>
      <w:r>
        <w:rPr>
          <w:rFonts w:hint="eastAsia" w:ascii="宋体" w:hAnsi="宋体" w:eastAsia="宋体" w:cs="宋体"/>
          <w:color w:val="auto"/>
          <w:sz w:val="24"/>
          <w:szCs w:val="24"/>
        </w:rPr>
        <w:t>第七部分</w:t>
      </w:r>
      <w:r>
        <w:rPr>
          <w:rFonts w:ascii="宋体" w:hAnsi="Calibri" w:eastAsia="宋体" w:cs="宋体"/>
          <w:color w:val="auto"/>
          <w:sz w:val="24"/>
          <w:szCs w:val="24"/>
        </w:rPr>
        <w:t>-</w:t>
      </w:r>
      <w:r>
        <w:rPr>
          <w:rFonts w:hint="eastAsia" w:ascii="宋体" w:hAnsi="宋体" w:eastAsia="宋体" w:cs="宋体"/>
          <w:color w:val="auto"/>
          <w:sz w:val="24"/>
          <w:szCs w:val="24"/>
        </w:rPr>
        <w:t>学生复查试卷暂行规定</w:t>
      </w:r>
      <w:r>
        <w:rPr>
          <w:rFonts w:hint="eastAsia" w:ascii="宋体" w:hAnsi="Calibri" w:eastAsia="宋体" w:cs="宋体"/>
          <w:color w:val="auto"/>
          <w:sz w:val="24"/>
          <w:szCs w:val="24"/>
        </w:rPr>
        <w:t>”</w:t>
      </w:r>
      <w:r>
        <w:rPr>
          <w:rFonts w:hint="eastAsia" w:ascii="宋体" w:hAnsi="宋体" w:eastAsia="宋体" w:cs="宋体"/>
          <w:color w:val="auto"/>
          <w:sz w:val="24"/>
          <w:szCs w:val="24"/>
        </w:rPr>
        <w:t>的相关程序进行</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补考规定</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（一）有下列情况的学生，必须参加正常的补考：</w:t>
      </w:r>
    </w:p>
    <w:p>
      <w:pPr>
        <w:widowControl/>
        <w:numPr>
          <w:ilvl w:val="0"/>
          <w:numId w:val="30"/>
        </w:numPr>
        <w:autoSpaceDE w:val="0"/>
        <w:autoSpaceDN w:val="0"/>
        <w:adjustRightInd w:val="0"/>
        <w:spacing w:line="360" w:lineRule="auto"/>
        <w:ind w:left="0" w:firstLine="567" w:firstLineChars="0"/>
        <w:jc w:val="left"/>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课程经考核，学期成绩不合格，且符合补考条件者。</w:t>
      </w:r>
    </w:p>
    <w:p>
      <w:pPr>
        <w:widowControl/>
        <w:numPr>
          <w:ilvl w:val="0"/>
          <w:numId w:val="30"/>
        </w:numPr>
        <w:autoSpaceDE w:val="0"/>
        <w:autoSpaceDN w:val="0"/>
        <w:adjustRightInd w:val="0"/>
        <w:spacing w:line="360" w:lineRule="auto"/>
        <w:ind w:left="0" w:firstLine="567" w:firstLineChars="0"/>
        <w:jc w:val="left"/>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经教务部备案同意缓考者。</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（二）有下列情况，毕业前可参加一次补考：</w:t>
      </w:r>
    </w:p>
    <w:p>
      <w:pPr>
        <w:widowControl/>
        <w:numPr>
          <w:ilvl w:val="0"/>
          <w:numId w:val="31"/>
        </w:numPr>
        <w:autoSpaceDE w:val="0"/>
        <w:autoSpaceDN w:val="0"/>
        <w:adjustRightInd w:val="0"/>
        <w:spacing w:line="360" w:lineRule="auto"/>
        <w:ind w:left="0" w:firstLine="567" w:firstLineChars="0"/>
        <w:jc w:val="left"/>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旷考、作弊的学生，确有悔改表现，经本人申请，二级学院（部）主任批准。</w:t>
      </w:r>
    </w:p>
    <w:p>
      <w:pPr>
        <w:widowControl/>
        <w:numPr>
          <w:ilvl w:val="0"/>
          <w:numId w:val="31"/>
        </w:numPr>
        <w:autoSpaceDE w:val="0"/>
        <w:autoSpaceDN w:val="0"/>
        <w:adjustRightInd w:val="0"/>
        <w:spacing w:line="360" w:lineRule="auto"/>
        <w:ind w:left="0" w:firstLine="567" w:firstLineChars="0"/>
        <w:jc w:val="left"/>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缓考不及格或补考缓考者。</w:t>
      </w:r>
    </w:p>
    <w:p>
      <w:pPr>
        <w:widowControl/>
        <w:numPr>
          <w:ilvl w:val="0"/>
          <w:numId w:val="31"/>
        </w:numPr>
        <w:autoSpaceDE w:val="0"/>
        <w:autoSpaceDN w:val="0"/>
        <w:adjustRightInd w:val="0"/>
        <w:spacing w:line="360" w:lineRule="auto"/>
        <w:ind w:left="0" w:firstLine="567" w:firstLineChars="0"/>
        <w:jc w:val="left"/>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历年有正常补考不及格课程，但积累未达到退学规定者。</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（三）补考时间：正常补考，每学期第二周至第四周。</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（四）补考学生由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清查，并通知</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（部）通知学生。</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（五）参加补考学生，必须持学生证入考场，无证不得参加考试。</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（六）结业生的补考（换证考核）详见</w:t>
      </w:r>
      <w:r>
        <w:rPr>
          <w:rFonts w:hint="eastAsia" w:ascii="宋体" w:hAnsi="Calibri" w:eastAsia="宋体" w:cs="宋体"/>
          <w:color w:val="auto"/>
          <w:kern w:val="0"/>
          <w:sz w:val="24"/>
          <w:szCs w:val="24"/>
        </w:rPr>
        <w:t>“</w:t>
      </w:r>
      <w:r>
        <w:rPr>
          <w:rFonts w:hint="eastAsia" w:ascii="宋体" w:hAnsi="宋体" w:eastAsia="宋体" w:cs="宋体"/>
          <w:color w:val="auto"/>
          <w:sz w:val="24"/>
          <w:szCs w:val="24"/>
        </w:rPr>
        <w:t>第六部分</w:t>
      </w:r>
      <w:r>
        <w:rPr>
          <w:rFonts w:ascii="宋体" w:hAnsi="Calibri" w:eastAsia="宋体" w:cs="宋体"/>
          <w:color w:val="auto"/>
          <w:sz w:val="24"/>
          <w:szCs w:val="24"/>
        </w:rPr>
        <w:t>-</w:t>
      </w:r>
      <w:r>
        <w:rPr>
          <w:rFonts w:hint="eastAsia" w:ascii="宋体" w:hAnsi="宋体" w:eastAsia="宋体" w:cs="宋体"/>
          <w:color w:val="auto"/>
          <w:sz w:val="24"/>
          <w:szCs w:val="24"/>
        </w:rPr>
        <w:t>换证考核实施办法</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第六条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成绩管理</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（一）每学期开学初，任课教师提前打印课堂成绩考核表，结合学生平时成绩，登记期终考试成绩，统计总成绩。</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（二）学期结束，任课教师将成绩录入教务</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统，打印后由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（部）统一上交</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，统一保管。</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（部）在成绩收齐后，应以成绩通知单形式通知学生。</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（三）凡与学生成绩有关材料，</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都必须妥善保管，不得随意丢失，一般应在学生毕（结）业三年以后才可以处理。</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第七条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考试总结</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考试后要总结，任课教师必须进行考试质量分析。</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第八条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本办法由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负责解释。</w:t>
      </w:r>
    </w:p>
    <w:p>
      <w:pPr>
        <w:keepNext/>
        <w:keepLines/>
        <w:autoSpaceDE w:val="0"/>
        <w:autoSpaceDN w:val="0"/>
        <w:adjustRightInd w:val="0"/>
        <w:spacing w:line="360" w:lineRule="auto"/>
        <w:ind w:firstLine="482" w:firstLineChars="200"/>
        <w:jc w:val="center"/>
        <w:rPr>
          <w:rFonts w:ascii="宋体" w:hAnsi="Calibri" w:eastAsia="宋体" w:cs="宋体"/>
          <w:b/>
          <w:bCs/>
          <w:color w:val="auto"/>
          <w:sz w:val="24"/>
          <w:szCs w:val="24"/>
        </w:rPr>
      </w:pPr>
    </w:p>
    <w:p>
      <w:pPr>
        <w:keepNext/>
        <w:keepLines/>
        <w:autoSpaceDE w:val="0"/>
        <w:autoSpaceDN w:val="0"/>
        <w:adjustRightInd w:val="0"/>
        <w:spacing w:line="360" w:lineRule="auto"/>
        <w:ind w:firstLine="482" w:firstLineChars="200"/>
        <w:jc w:val="center"/>
        <w:rPr>
          <w:rFonts w:ascii="宋体" w:hAnsi="Calibri" w:eastAsia="宋体" w:cs="宋体"/>
          <w:b/>
          <w:bCs/>
          <w:color w:val="auto"/>
          <w:sz w:val="24"/>
          <w:szCs w:val="24"/>
        </w:rPr>
      </w:pPr>
      <w:r>
        <w:rPr>
          <w:rFonts w:hint="eastAsia" w:ascii="宋体" w:hAnsi="宋体" w:eastAsia="宋体" w:cs="宋体"/>
          <w:b/>
          <w:bCs/>
          <w:color w:val="auto"/>
          <w:sz w:val="24"/>
          <w:szCs w:val="24"/>
        </w:rPr>
        <w:t>第四部分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学生课程平时成绩评定与记录办法</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第一条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为加强对学生平时学习过程的管理，强化平时成绩的功能，规范平时成绩的管理，进一步促进学生主动积极地学习，保证课堂教学质量，特制定本实施办法。</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原则上，总评成绩</w:t>
      </w:r>
      <w:r>
        <w:rPr>
          <w:rFonts w:ascii="宋体" w:hAnsi="宋体" w:eastAsia="宋体" w:cs="宋体"/>
          <w:color w:val="auto"/>
          <w:kern w:val="0"/>
          <w:sz w:val="24"/>
          <w:szCs w:val="24"/>
        </w:rPr>
        <w:t>=</w:t>
      </w:r>
      <w:r>
        <w:rPr>
          <w:rFonts w:hint="eastAsia" w:ascii="宋体" w:hAnsi="宋体" w:eastAsia="宋体" w:cs="宋体"/>
          <w:color w:val="auto"/>
          <w:kern w:val="0"/>
          <w:sz w:val="24"/>
          <w:szCs w:val="24"/>
        </w:rPr>
        <w:t>形成性考核×</w:t>
      </w:r>
      <w:r>
        <w:rPr>
          <w:rFonts w:ascii="宋体" w:hAnsi="宋体" w:eastAsia="宋体" w:cs="宋体"/>
          <w:color w:val="auto"/>
          <w:kern w:val="0"/>
          <w:sz w:val="24"/>
          <w:szCs w:val="24"/>
        </w:rPr>
        <w:t>40%+</w:t>
      </w:r>
      <w:r>
        <w:rPr>
          <w:rFonts w:hint="eastAsia" w:ascii="宋体" w:hAnsi="宋体" w:eastAsia="宋体" w:cs="宋体"/>
          <w:color w:val="auto"/>
          <w:kern w:val="0"/>
          <w:sz w:val="24"/>
          <w:szCs w:val="24"/>
        </w:rPr>
        <w:t>终结考核×</w:t>
      </w:r>
      <w:r>
        <w:rPr>
          <w:rFonts w:ascii="宋体" w:hAnsi="宋体" w:eastAsia="宋体" w:cs="宋体"/>
          <w:color w:val="auto"/>
          <w:kern w:val="0"/>
          <w:sz w:val="24"/>
          <w:szCs w:val="24"/>
        </w:rPr>
        <w:t>60%</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学生平时成绩由任课老师根据学生的出勤、课堂表现、作业（实验报告、作品）、单元测验等情况确定。</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第四条</w:t>
      </w:r>
      <w:r>
        <w:rPr>
          <w:rFonts w:ascii="宋体" w:hAnsi="宋体" w:eastAsia="宋体" w:cs="宋体"/>
          <w:b/>
          <w:bCs/>
          <w:color w:val="auto"/>
          <w:kern w:val="0"/>
          <w:sz w:val="24"/>
          <w:szCs w:val="24"/>
        </w:rPr>
        <w:t xml:space="preserve"> </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学生在课堂中的表现是评定平时成绩的重要依据。教师可根据学生是否认真听讲、主动提问，是否积极参与课堂讨论等确定学生课堂表现的得分。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任课教师可从学生是否能独立完成作业（实验报告、作品）、是否按时上交作业、作业的质量等方面评定作业的得分。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第六条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任课教师可以自主决定单元测验（期中考试）成绩占平时成绩的比例。</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第七条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任课教师必须在上第一节课时向学生宣布该课程平时成绩的打分规则，并在该门课程结束前的最后一节课向学生公布平时成绩。</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第八条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任课教师应建立学生平时成绩档案，记录学生的出勤、课堂表现、作业（实验报告、作品）、单元测验等情况，并注意保存与学生平时成绩相关的原始资料，期末考试前，将平时成绩评定依据及以上原始资料连同学生平时成绩登记表一并交</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（部）存档，</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（部）统一将本</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（部）的平时成绩上报</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p>
    <w:p>
      <w:pPr>
        <w:widowControl/>
        <w:autoSpaceDE w:val="0"/>
        <w:autoSpaceDN w:val="0"/>
        <w:adjustRightInd w:val="0"/>
        <w:spacing w:line="360" w:lineRule="auto"/>
        <w:ind w:firstLine="482" w:firstLineChars="200"/>
        <w:jc w:val="center"/>
        <w:rPr>
          <w:rFonts w:ascii="宋体" w:hAnsi="Calibri" w:eastAsia="宋体" w:cs="宋体"/>
          <w:color w:val="auto"/>
          <w:kern w:val="0"/>
          <w:sz w:val="24"/>
          <w:szCs w:val="24"/>
        </w:rPr>
      </w:pPr>
      <w:r>
        <w:rPr>
          <w:rFonts w:hint="eastAsia" w:ascii="宋体" w:hAnsi="宋体" w:eastAsia="宋体" w:cs="宋体"/>
          <w:b/>
          <w:bCs/>
          <w:color w:val="auto"/>
          <w:sz w:val="24"/>
          <w:szCs w:val="24"/>
        </w:rPr>
        <w:t>第五部分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学生缓考规定</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第一条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申请缓考条件</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学生出现下述情况之一者，可以申请缓考：</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（一）学生因病不能参加考试；</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（二）学生因事已被准假离校，不能按时参加考试；</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申请缓考程序</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（一）学生申请缓考有关课程，须填写缓考课程申请表，同时提供有关证明材料，由班主任或辅导员签署意见，经</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（部）主任批准，报</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备案后，由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（部）负责通知任课教师和学生本人处理决定；</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（二）缓考手续一般应在考试前两周办理完毕。因突发事件等特殊原因不能提前办理的，必须在考试前经辅导员报告</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，并补办有关手续；</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（三）不按规定办理缓考手续的，一律按旷考处理。</w:t>
      </w:r>
    </w:p>
    <w:p>
      <w:pPr>
        <w:widowControl/>
        <w:autoSpaceDE w:val="0"/>
        <w:autoSpaceDN w:val="0"/>
        <w:adjustRightInd w:val="0"/>
        <w:spacing w:line="360" w:lineRule="auto"/>
        <w:ind w:firstLine="482" w:firstLineChars="200"/>
        <w:jc w:val="left"/>
        <w:rPr>
          <w:rFonts w:ascii="宋体" w:hAnsi="Calibri" w:eastAsia="宋体" w:cs="宋体"/>
          <w:b/>
          <w:bCs/>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缓考时间及成绩记载</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批准缓考的学生，应在下学期开学初，按照学院的补考考试安排，参加缓考课程的考试。无正当理由不按时参加缓考考试者，按旷考处理。</w:t>
      </w:r>
    </w:p>
    <w:p>
      <w:pPr>
        <w:autoSpaceDE w:val="0"/>
        <w:autoSpaceDN w:val="0"/>
        <w:adjustRightInd w:val="0"/>
        <w:spacing w:line="360" w:lineRule="auto"/>
        <w:ind w:firstLine="480" w:firstLineChars="200"/>
        <w:rPr>
          <w:rFonts w:ascii="宋体" w:hAnsi="Calibri" w:eastAsia="宋体" w:cs="宋体"/>
          <w:color w:val="auto"/>
          <w:sz w:val="24"/>
          <w:szCs w:val="24"/>
        </w:rPr>
      </w:pPr>
      <w:r>
        <w:rPr>
          <w:rFonts w:hint="eastAsia" w:ascii="宋体" w:hAnsi="宋体" w:eastAsia="宋体" w:cs="宋体"/>
          <w:color w:val="auto"/>
          <w:sz w:val="24"/>
          <w:szCs w:val="24"/>
        </w:rPr>
        <w:t>缓考成绩以正常成绩记录。</w:t>
      </w:r>
    </w:p>
    <w:p>
      <w:pPr>
        <w:autoSpaceDE w:val="0"/>
        <w:autoSpaceDN w:val="0"/>
        <w:adjustRightInd w:val="0"/>
        <w:spacing w:line="360" w:lineRule="auto"/>
        <w:ind w:firstLine="480" w:firstLineChars="200"/>
        <w:rPr>
          <w:rFonts w:ascii="宋体" w:hAnsi="Calibri" w:eastAsia="宋体" w:cs="宋体"/>
          <w:color w:val="auto"/>
          <w:sz w:val="24"/>
          <w:szCs w:val="24"/>
        </w:rPr>
      </w:pPr>
    </w:p>
    <w:p>
      <w:pPr>
        <w:autoSpaceDE w:val="0"/>
        <w:autoSpaceDN w:val="0"/>
        <w:adjustRightInd w:val="0"/>
        <w:spacing w:line="360" w:lineRule="auto"/>
        <w:ind w:firstLine="482" w:firstLineChars="200"/>
        <w:jc w:val="center"/>
        <w:rPr>
          <w:rFonts w:ascii="宋体" w:hAnsi="Calibri" w:eastAsia="宋体" w:cs="宋体"/>
          <w:color w:val="auto"/>
          <w:sz w:val="24"/>
          <w:szCs w:val="24"/>
        </w:rPr>
      </w:pPr>
      <w:r>
        <w:rPr>
          <w:rFonts w:hint="eastAsia" w:ascii="宋体" w:hAnsi="宋体" w:eastAsia="宋体" w:cs="宋体"/>
          <w:b/>
          <w:bCs/>
          <w:color w:val="auto"/>
          <w:sz w:val="24"/>
          <w:szCs w:val="24"/>
        </w:rPr>
        <w:t>第六部分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换证考核实施办法</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第一条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为了进一步规范毕业生管理，依据《广东江门中医药职业学院学籍管理办法》，结合学院实际制定本办法。</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换证考核指结业证换发毕业证的相关考核。对已完成学业，但因课程考核或思想品德鉴定及实习鉴定等未达到毕业标准的结业生，在规定时间内向学院递交换证考核申请审批表，学院将组织实施相关考核。若申请者的课程补考、思想品德鉴定或实习鉴定（以下统称换证考核）达到合格标准，学院予以换发毕业证。</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每位结业生参加换证考核只有两次机会：</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高职生换证考核时间：结业当年十月份第二周周末和次年三月份第二周周末；若错过该机会或考核不合格，以后将不再拥有换证机会。</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第四条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全院的换证考核由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统筹，相关处室和</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配合实施。课程考核（考试科）由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具体负责，课程考核（考查科）由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具体负责；思想品德鉴定由学院</w:t>
      </w:r>
      <w:r>
        <w:rPr>
          <w:rFonts w:hint="eastAsia" w:ascii="宋体" w:hAnsi="宋体" w:eastAsia="宋体" w:cs="宋体"/>
          <w:color w:val="auto"/>
          <w:kern w:val="0"/>
          <w:sz w:val="24"/>
          <w:szCs w:val="24"/>
          <w:lang w:eastAsia="zh-CN"/>
        </w:rPr>
        <w:t>学生工作部</w:t>
      </w:r>
      <w:r>
        <w:rPr>
          <w:rFonts w:hint="eastAsia" w:ascii="宋体" w:hAnsi="宋体" w:eastAsia="宋体" w:cs="宋体"/>
          <w:color w:val="auto"/>
          <w:kern w:val="0"/>
          <w:sz w:val="24"/>
          <w:szCs w:val="24"/>
        </w:rPr>
        <w:t>具体负责；具体考核日程、地点由实施考核部门确定并发布。考核成绩由考核部门汇总后提交至学籍管理部门。</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毕业证由学院统一换发，毕业证落款日期为换证日期。</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申请程序</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学生在结业后必须提前</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个月按以下程序向学院申请换证考核：</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1.</w:t>
      </w:r>
      <w:r>
        <w:rPr>
          <w:rFonts w:hint="eastAsia" w:ascii="宋体" w:hAnsi="宋体" w:eastAsia="宋体" w:cs="宋体"/>
          <w:color w:val="auto"/>
          <w:kern w:val="0"/>
          <w:sz w:val="24"/>
          <w:szCs w:val="24"/>
        </w:rPr>
        <w:t>填写《江门中医药职业技术学院结业学生结业证换领毕业证申请审批表》。</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所在</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审核。</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学籍管理部门查询需补考（鉴定）情况。</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4.</w:t>
      </w:r>
      <w:r>
        <w:rPr>
          <w:rFonts w:hint="eastAsia" w:ascii="宋体" w:hAnsi="宋体" w:eastAsia="宋体" w:cs="宋体"/>
          <w:color w:val="auto"/>
          <w:kern w:val="0"/>
          <w:sz w:val="24"/>
          <w:szCs w:val="24"/>
          <w:lang w:eastAsia="zh-CN"/>
        </w:rPr>
        <w:t>财务部</w:t>
      </w:r>
      <w:r>
        <w:rPr>
          <w:rFonts w:hint="eastAsia" w:ascii="宋体" w:hAnsi="宋体" w:eastAsia="宋体" w:cs="宋体"/>
          <w:color w:val="auto"/>
          <w:kern w:val="0"/>
          <w:sz w:val="24"/>
          <w:szCs w:val="24"/>
        </w:rPr>
        <w:t>缴费。</w:t>
      </w:r>
    </w:p>
    <w:p>
      <w:pPr>
        <w:widowControl/>
        <w:autoSpaceDE w:val="0"/>
        <w:autoSpaceDN w:val="0"/>
        <w:adjustRightInd w:val="0"/>
        <w:spacing w:line="360" w:lineRule="auto"/>
        <w:ind w:firstLine="480" w:firstLineChars="200"/>
        <w:jc w:val="left"/>
        <w:rPr>
          <w:rFonts w:ascii="宋体" w:hAnsi="宋体" w:eastAsia="宋体" w:cs="宋体"/>
          <w:color w:val="auto"/>
          <w:kern w:val="0"/>
          <w:sz w:val="24"/>
          <w:szCs w:val="24"/>
        </w:rPr>
      </w:pPr>
      <w:r>
        <w:rPr>
          <w:rFonts w:ascii="宋体" w:hAnsi="宋体" w:eastAsia="宋体" w:cs="宋体"/>
          <w:color w:val="auto"/>
          <w:kern w:val="0"/>
          <w:sz w:val="24"/>
          <w:szCs w:val="24"/>
        </w:rPr>
        <w:t>5.</w:t>
      </w:r>
      <w:r>
        <w:rPr>
          <w:rFonts w:hint="eastAsia" w:ascii="宋体" w:hAnsi="宋体" w:eastAsia="宋体" w:cs="宋体"/>
          <w:color w:val="auto"/>
          <w:kern w:val="0"/>
          <w:sz w:val="24"/>
          <w:szCs w:val="24"/>
        </w:rPr>
        <w:t>拿缴费单到相关处室领取准考证，参加相应考核。</w:t>
      </w:r>
      <w:r>
        <w:rPr>
          <w:rFonts w:ascii="宋体" w:hAnsi="宋体" w:eastAsia="宋体" w:cs="宋体"/>
          <w:color w:val="auto"/>
          <w:kern w:val="0"/>
          <w:sz w:val="24"/>
          <w:szCs w:val="24"/>
        </w:rPr>
        <w:t xml:space="preserve"> </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第六条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考核方式：</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1.</w:t>
      </w:r>
      <w:r>
        <w:rPr>
          <w:rFonts w:hint="eastAsia" w:ascii="宋体" w:hAnsi="宋体" w:eastAsia="宋体" w:cs="宋体"/>
          <w:color w:val="auto"/>
          <w:kern w:val="0"/>
          <w:sz w:val="24"/>
          <w:szCs w:val="24"/>
        </w:rPr>
        <w:t>课程考核由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）组织闭卷考试。</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思想品德考核由</w:t>
      </w:r>
      <w:r>
        <w:rPr>
          <w:rFonts w:hint="eastAsia" w:ascii="宋体" w:hAnsi="宋体" w:eastAsia="宋体" w:cs="宋体"/>
          <w:color w:val="auto"/>
          <w:kern w:val="0"/>
          <w:sz w:val="24"/>
          <w:szCs w:val="24"/>
          <w:lang w:eastAsia="zh-CN"/>
        </w:rPr>
        <w:t>学生工作部</w:t>
      </w:r>
      <w:r>
        <w:rPr>
          <w:rFonts w:hint="eastAsia" w:ascii="宋体" w:hAnsi="宋体" w:eastAsia="宋体" w:cs="宋体"/>
          <w:color w:val="auto"/>
          <w:kern w:val="0"/>
          <w:sz w:val="24"/>
          <w:szCs w:val="24"/>
        </w:rPr>
        <w:t>组织思想品德鉴定。</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第七条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换证考核成绩合格者，其成绩均以</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合格</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记载。</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第八条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学生结业证换发毕业证考试课程成绩全部合格者，由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在《江门中医药职业学院结业生结业证换领毕业证申请审批表》填写考试成绩并签字，由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处长和主管副院长审核签字后换发毕业证书。</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第九条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换发的毕业证书中填写的内容按广东省教育厅有关规定填写。</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毕业生学历在线注册工作，按教育部电子注册中心对高等学院毕业生学历在线注册平台开放时间段内进行。</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第十一条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本办法由</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负责解释。</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p>
    <w:p>
      <w:pPr>
        <w:widowControl/>
        <w:autoSpaceDE w:val="0"/>
        <w:autoSpaceDN w:val="0"/>
        <w:adjustRightInd w:val="0"/>
        <w:spacing w:line="360" w:lineRule="auto"/>
        <w:ind w:firstLine="482" w:firstLineChars="200"/>
        <w:jc w:val="center"/>
        <w:rPr>
          <w:rFonts w:ascii="宋体" w:hAnsi="Calibri" w:eastAsia="宋体" w:cs="宋体"/>
          <w:color w:val="auto"/>
          <w:kern w:val="0"/>
          <w:sz w:val="24"/>
          <w:szCs w:val="24"/>
        </w:rPr>
      </w:pPr>
      <w:r>
        <w:rPr>
          <w:rFonts w:hint="eastAsia" w:ascii="宋体" w:hAnsi="宋体" w:eastAsia="宋体" w:cs="宋体"/>
          <w:b/>
          <w:bCs/>
          <w:color w:val="auto"/>
          <w:sz w:val="24"/>
          <w:szCs w:val="24"/>
        </w:rPr>
        <w:t>第七部分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试卷保密管理规定</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第一条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试卷及学生考试相关材料属于学院机密，有关人员应严格遵守有关保密规定，严禁泄露各类试题、试题库、试卷库的内容，对各类泄密事件要求及时上报，及时处理。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设立专用的试卷保密室，试卷保密室必须具备防盗、防火、防潮、防鼠功能，配备铁门、铁窗、铁柜。试卷保密室除专管人员外，其他无关人员不许随便进入。</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命题由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（部）指定专人负责，命题组成员在教学、辅导中不得泄露与考试有关的试题信息。命题经教师核对、教研室主任和</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（部）主任签字后，在规定时间内密封送</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印刷。试卷的取送、保存由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（部）指定专人负责。</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第四条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指派专人负责试题的接收、送印、取卷、保管和分发工作。</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组织专人进行印刷和装订试卷，并设立封闭的试题印制和装订工作区，严禁无关人员进入工作区。试卷废品指派专人销毁。</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考试期间监考教师必须按时到指定地点登记和领取试卷，不允许代领。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第六条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已批阅的试卷不得发学生本人，由各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（部）登记封存，交</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统一保管，存期五年，超过时限后统一销毁，不得随意处置。</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第七条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试卷封存后，学生对考试成绩若有异议，可要求复查试卷。</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第八条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对违反保密工作要求，造成考试试题泄密者，学院将追究相关责任人及其单位负责人的责任，并予以严肃处理。对触犯法律、法规者，交由相关部门处理。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第九条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院外考试试卷的保密工作严格按照有关规定执行。</w:t>
      </w:r>
    </w:p>
    <w:p>
      <w:pPr>
        <w:widowControl/>
        <w:autoSpaceDE w:val="0"/>
        <w:autoSpaceDN w:val="0"/>
        <w:adjustRightInd w:val="0"/>
        <w:spacing w:line="360" w:lineRule="auto"/>
        <w:ind w:firstLine="480" w:firstLineChars="200"/>
        <w:jc w:val="left"/>
        <w:rPr>
          <w:rFonts w:ascii="宋体" w:hAnsi="Calibri" w:eastAsia="宋体" w:cs="宋体"/>
          <w:color w:val="auto"/>
          <w:kern w:val="0"/>
          <w:sz w:val="24"/>
          <w:szCs w:val="24"/>
        </w:rPr>
      </w:pPr>
    </w:p>
    <w:p>
      <w:pPr>
        <w:widowControl/>
        <w:autoSpaceDE w:val="0"/>
        <w:autoSpaceDN w:val="0"/>
        <w:adjustRightInd w:val="0"/>
        <w:spacing w:line="360" w:lineRule="auto"/>
        <w:ind w:firstLine="482" w:firstLineChars="200"/>
        <w:jc w:val="center"/>
        <w:rPr>
          <w:rFonts w:ascii="宋体" w:hAnsi="Calibri" w:eastAsia="宋体" w:cs="宋体"/>
          <w:color w:val="auto"/>
          <w:kern w:val="0"/>
          <w:sz w:val="24"/>
          <w:szCs w:val="24"/>
        </w:rPr>
      </w:pPr>
      <w:r>
        <w:rPr>
          <w:rFonts w:hint="eastAsia" w:ascii="宋体" w:hAnsi="宋体" w:eastAsia="宋体" w:cs="宋体"/>
          <w:b/>
          <w:bCs/>
          <w:color w:val="auto"/>
          <w:sz w:val="24"/>
          <w:szCs w:val="24"/>
        </w:rPr>
        <w:t>第八部分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学生复查试卷暂行规定</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第一条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学生对考试成绩有异议，可以申请复查试卷。</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复查申请。学生在获知本人成绩后，认为成绩有误，确有理由需复查试卷的，可以向任课教师所在</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w:t>
      </w:r>
      <w:r>
        <w:rPr>
          <w:rFonts w:ascii="宋体" w:hAnsi="宋体" w:eastAsia="宋体" w:cs="宋体"/>
          <w:color w:val="auto"/>
          <w:kern w:val="0"/>
          <w:sz w:val="24"/>
          <w:szCs w:val="24"/>
        </w:rPr>
        <w:t>)</w:t>
      </w:r>
      <w:r>
        <w:rPr>
          <w:rFonts w:hint="eastAsia" w:ascii="宋体" w:hAnsi="宋体" w:eastAsia="宋体" w:cs="宋体"/>
          <w:color w:val="auto"/>
          <w:kern w:val="0"/>
          <w:sz w:val="24"/>
          <w:szCs w:val="24"/>
        </w:rPr>
        <w:t>申请复查试卷。各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（部）不应拒绝按规定程序提出的复查试卷申请。</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复查时间。下一学期开学后第一、二周，截止时间为第二周周五下班前，提前或超出规定时间的申请不予受理。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第四条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复查范围。试卷题目小分错加；试卷总分错加；试卷分数错登、漏登；试题漏评、错评；非客观性试题，如问答题、论述题等的评分宽严程度不属复查范围</w:t>
      </w:r>
      <w:r>
        <w:rPr>
          <w:rFonts w:ascii="宋体" w:hAnsi="宋体" w:eastAsia="宋体" w:cs="宋体"/>
          <w:color w:val="auto"/>
          <w:kern w:val="0"/>
          <w:sz w:val="24"/>
          <w:szCs w:val="24"/>
        </w:rPr>
        <w:t>(</w:t>
      </w:r>
      <w:r>
        <w:rPr>
          <w:rFonts w:hint="eastAsia" w:ascii="宋体" w:hAnsi="宋体" w:eastAsia="宋体" w:cs="宋体"/>
          <w:color w:val="auto"/>
          <w:kern w:val="0"/>
          <w:sz w:val="24"/>
          <w:szCs w:val="24"/>
        </w:rPr>
        <w:t>分数差异较大者除外</w:t>
      </w:r>
      <w:r>
        <w:rPr>
          <w:rFonts w:ascii="宋体" w:hAnsi="宋体" w:eastAsia="宋体" w:cs="宋体"/>
          <w:color w:val="auto"/>
          <w:kern w:val="0"/>
          <w:sz w:val="24"/>
          <w:szCs w:val="24"/>
        </w:rPr>
        <w:t>)</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复查次数。同一份试卷只能申请复查</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次。</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第六条</w:t>
      </w:r>
      <w:r>
        <w:rPr>
          <w:rFonts w:hint="eastAsia" w:ascii="宋体" w:hAnsi="宋体" w:eastAsia="宋体" w:cs="宋体"/>
          <w:color w:val="auto"/>
          <w:kern w:val="0"/>
          <w:sz w:val="24"/>
          <w:szCs w:val="24"/>
        </w:rPr>
        <w:t>学生只能申请复查自己的试卷，提出复查试卷申请时应出示本人的居民身份证或学生证，填写</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江门中医药职业学院复查试卷申请表</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（一式二份），写明姓名、学号、班级、联</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电话，申请复查课程的名称、考试时间、考试地点、复查试卷的原因等。</w:t>
      </w:r>
      <w:r>
        <w:rPr>
          <w:rFonts w:ascii="宋体" w:hAnsi="Calibri" w:eastAsia="宋体" w:cs="宋体"/>
          <w:color w:val="auto"/>
          <w:kern w:val="0"/>
          <w:sz w:val="24"/>
          <w:szCs w:val="24"/>
        </w:rPr>
        <w:t> </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第七条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任课教师所在</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w:t>
      </w:r>
      <w:r>
        <w:rPr>
          <w:rFonts w:ascii="宋体" w:hAnsi="宋体" w:eastAsia="宋体" w:cs="宋体"/>
          <w:color w:val="auto"/>
          <w:kern w:val="0"/>
          <w:sz w:val="24"/>
          <w:szCs w:val="24"/>
        </w:rPr>
        <w:t>)</w:t>
      </w:r>
      <w:r>
        <w:rPr>
          <w:rFonts w:hint="eastAsia" w:ascii="宋体" w:hAnsi="宋体" w:eastAsia="宋体" w:cs="宋体"/>
          <w:color w:val="auto"/>
          <w:kern w:val="0"/>
          <w:sz w:val="24"/>
          <w:szCs w:val="24"/>
        </w:rPr>
        <w:t>接到复查试卷申请后，需由主管教学副主任同意，并由主管教学副主任指定专人到</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考试档案室复查试卷</w:t>
      </w:r>
      <w:r>
        <w:rPr>
          <w:rFonts w:ascii="宋体" w:hAnsi="Calibri" w:eastAsia="宋体" w:cs="宋体"/>
          <w:color w:val="auto"/>
          <w:kern w:val="0"/>
          <w:sz w:val="24"/>
          <w:szCs w:val="24"/>
        </w:rPr>
        <w:t>,</w:t>
      </w:r>
      <w:r>
        <w:rPr>
          <w:rFonts w:hint="eastAsia" w:ascii="宋体" w:hAnsi="宋体" w:eastAsia="宋体" w:cs="宋体"/>
          <w:color w:val="auto"/>
          <w:kern w:val="0"/>
          <w:sz w:val="24"/>
          <w:szCs w:val="24"/>
        </w:rPr>
        <w:t>其他人员不得以任何理由接触试卷。复查试卷工作由任课教师和</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工作人员共同完成。</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第八条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要严格按评分标准复查，发现确有阅卷错误，应按阅卷规范进行操作，改动的地方须签字或盖章。对评分结果有争议的，由</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（部）教学副主任组织专家裁定。复查后成绩有变化，应由任课教师更正试卷、填写成绩更改报告单并签字盖章，经教学副主任和</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负责人签字后，送</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更改相应成绩。</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第九条</w:t>
      </w:r>
      <w:r>
        <w:rPr>
          <w:rFonts w:ascii="宋体" w:hAnsi="宋体" w:eastAsia="宋体" w:cs="宋体"/>
          <w:b/>
          <w:bCs/>
          <w:color w:val="auto"/>
          <w:kern w:val="0"/>
          <w:sz w:val="24"/>
          <w:szCs w:val="24"/>
        </w:rPr>
        <w:t xml:space="preserve">  </w:t>
      </w:r>
      <w:r>
        <w:rPr>
          <w:rFonts w:hint="eastAsia" w:ascii="宋体" w:hAnsi="宋体" w:eastAsia="宋体" w:cs="宋体"/>
          <w:color w:val="auto"/>
          <w:kern w:val="0"/>
          <w:sz w:val="24"/>
          <w:szCs w:val="24"/>
        </w:rPr>
        <w:t>任课教师负责将复查结果填入</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江门中医药职业复查试卷申请表</w:t>
      </w:r>
      <w:r>
        <w:rPr>
          <w:rFonts w:hint="eastAsia" w:ascii="宋体" w:hAnsi="Calibri" w:eastAsia="宋体" w:cs="宋体"/>
          <w:color w:val="auto"/>
          <w:kern w:val="0"/>
          <w:sz w:val="24"/>
          <w:szCs w:val="24"/>
        </w:rPr>
        <w:t>”</w:t>
      </w:r>
      <w:r>
        <w:rPr>
          <w:rFonts w:hint="eastAsia" w:ascii="宋体" w:hAnsi="宋体" w:eastAsia="宋体" w:cs="宋体"/>
          <w:color w:val="auto"/>
          <w:kern w:val="0"/>
          <w:sz w:val="24"/>
          <w:szCs w:val="24"/>
        </w:rPr>
        <w:t>，经所在</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（部）教学主任签字并加盖单位公章后，一份由所在</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（部）存档，一份转交申请者本人。期末试卷复查结果最迟应于新学期第三周周五之前交到</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第十条</w:t>
      </w:r>
      <w:r>
        <w:rPr>
          <w:rFonts w:hint="eastAsia" w:ascii="宋体" w:hAnsi="宋体" w:eastAsia="宋体" w:cs="宋体"/>
          <w:color w:val="auto"/>
          <w:kern w:val="0"/>
          <w:sz w:val="24"/>
          <w:szCs w:val="24"/>
        </w:rPr>
        <w:t>复查试卷工作应在</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考试档案室或各</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（部）办公地点进行，不允许学生进入复查现场。</w:t>
      </w:r>
    </w:p>
    <w:p>
      <w:pPr>
        <w:keepNext/>
        <w:keepLines/>
        <w:autoSpaceDE w:val="0"/>
        <w:autoSpaceDN w:val="0"/>
        <w:adjustRightInd w:val="0"/>
        <w:spacing w:line="360" w:lineRule="auto"/>
        <w:ind w:firstLine="482" w:firstLineChars="200"/>
        <w:jc w:val="center"/>
        <w:rPr>
          <w:rFonts w:ascii="宋体" w:hAnsi="Calibri" w:eastAsia="宋体" w:cs="宋体"/>
          <w:b/>
          <w:bCs/>
          <w:color w:val="auto"/>
          <w:sz w:val="24"/>
          <w:szCs w:val="24"/>
        </w:rPr>
      </w:pPr>
    </w:p>
    <w:p>
      <w:pPr>
        <w:keepNext/>
        <w:keepLines/>
        <w:autoSpaceDE w:val="0"/>
        <w:autoSpaceDN w:val="0"/>
        <w:adjustRightInd w:val="0"/>
        <w:spacing w:line="360" w:lineRule="auto"/>
        <w:ind w:firstLine="482" w:firstLineChars="200"/>
        <w:jc w:val="center"/>
        <w:rPr>
          <w:rFonts w:ascii="宋体" w:hAnsi="Calibri" w:eastAsia="宋体" w:cs="宋体"/>
          <w:b/>
          <w:bCs/>
          <w:color w:val="auto"/>
          <w:sz w:val="24"/>
          <w:szCs w:val="24"/>
        </w:rPr>
      </w:pPr>
      <w:r>
        <w:rPr>
          <w:rFonts w:hint="eastAsia" w:ascii="宋体" w:hAnsi="宋体" w:eastAsia="宋体" w:cs="宋体"/>
          <w:b/>
          <w:bCs/>
          <w:color w:val="auto"/>
          <w:sz w:val="24"/>
          <w:szCs w:val="24"/>
        </w:rPr>
        <w:t>第九部分</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考场规则</w:t>
      </w:r>
    </w:p>
    <w:p>
      <w:pPr>
        <w:autoSpaceDE w:val="0"/>
        <w:autoSpaceDN w:val="0"/>
        <w:adjustRightInd w:val="0"/>
        <w:spacing w:line="360" w:lineRule="auto"/>
        <w:ind w:firstLine="482" w:firstLineChars="200"/>
        <w:rPr>
          <w:rFonts w:ascii="宋体" w:hAnsi="Calibri" w:eastAsia="宋体" w:cs="宋体"/>
          <w:color w:val="auto"/>
          <w:sz w:val="24"/>
          <w:szCs w:val="24"/>
        </w:rPr>
      </w:pPr>
      <w:r>
        <w:rPr>
          <w:rFonts w:hint="eastAsia" w:ascii="宋体" w:hAnsi="宋体" w:eastAsia="宋体" w:cs="宋体"/>
          <w:b/>
          <w:bCs/>
          <w:color w:val="auto"/>
          <w:kern w:val="0"/>
          <w:sz w:val="24"/>
          <w:szCs w:val="24"/>
        </w:rPr>
        <w:t>第一条</w:t>
      </w:r>
      <w:r>
        <w:rPr>
          <w:rFonts w:ascii="宋体" w:hAnsi="宋体" w:eastAsia="宋体" w:cs="宋体"/>
          <w:b/>
          <w:bCs/>
          <w:color w:val="auto"/>
          <w:kern w:val="0"/>
          <w:sz w:val="24"/>
          <w:szCs w:val="24"/>
        </w:rPr>
        <w:t xml:space="preserve">  </w:t>
      </w:r>
      <w:r>
        <w:rPr>
          <w:rFonts w:hint="eastAsia" w:ascii="宋体" w:hAnsi="宋体" w:eastAsia="宋体" w:cs="宋体"/>
          <w:color w:val="auto"/>
          <w:sz w:val="24"/>
          <w:szCs w:val="24"/>
        </w:rPr>
        <w:t>考生必须按规定时间参加考试，迟到</w:t>
      </w:r>
      <w:r>
        <w:rPr>
          <w:rFonts w:ascii="宋体" w:hAnsi="宋体" w:eastAsia="宋体" w:cs="宋体"/>
          <w:color w:val="auto"/>
          <w:sz w:val="24"/>
          <w:szCs w:val="24"/>
        </w:rPr>
        <w:t>30</w:t>
      </w:r>
      <w:r>
        <w:rPr>
          <w:rFonts w:hint="eastAsia" w:ascii="宋体" w:hAnsi="宋体" w:eastAsia="宋体" w:cs="宋体"/>
          <w:color w:val="auto"/>
          <w:sz w:val="24"/>
          <w:szCs w:val="24"/>
        </w:rPr>
        <w:t>分钟以上者不得参加该次考试，并按旷考记录；开考</w:t>
      </w:r>
      <w:r>
        <w:rPr>
          <w:rFonts w:ascii="宋体" w:hAnsi="宋体" w:eastAsia="宋体" w:cs="宋体"/>
          <w:color w:val="auto"/>
          <w:sz w:val="24"/>
          <w:szCs w:val="24"/>
        </w:rPr>
        <w:t>30</w:t>
      </w:r>
      <w:r>
        <w:rPr>
          <w:rFonts w:hint="eastAsia" w:ascii="宋体" w:hAnsi="宋体" w:eastAsia="宋体" w:cs="宋体"/>
          <w:color w:val="auto"/>
          <w:sz w:val="24"/>
          <w:szCs w:val="24"/>
        </w:rPr>
        <w:t>分钟内考生不得交卷离场。</w:t>
      </w:r>
    </w:p>
    <w:p>
      <w:pPr>
        <w:autoSpaceDE w:val="0"/>
        <w:autoSpaceDN w:val="0"/>
        <w:adjustRightInd w:val="0"/>
        <w:spacing w:line="360" w:lineRule="auto"/>
        <w:ind w:firstLine="482" w:firstLineChars="200"/>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第二条</w:t>
      </w:r>
      <w:r>
        <w:rPr>
          <w:rFonts w:ascii="宋体" w:hAnsi="宋体" w:eastAsia="宋体" w:cs="宋体"/>
          <w:b/>
          <w:bCs/>
          <w:color w:val="auto"/>
          <w:kern w:val="0"/>
          <w:sz w:val="24"/>
          <w:szCs w:val="24"/>
        </w:rPr>
        <w:t xml:space="preserve">  </w:t>
      </w:r>
      <w:r>
        <w:rPr>
          <w:rFonts w:hint="eastAsia" w:ascii="宋体" w:hAnsi="宋体" w:eastAsia="宋体" w:cs="宋体"/>
          <w:color w:val="auto"/>
          <w:sz w:val="24"/>
          <w:szCs w:val="24"/>
        </w:rPr>
        <w:t>在考试前</w:t>
      </w:r>
      <w:r>
        <w:rPr>
          <w:rFonts w:ascii="宋体" w:hAnsi="宋体" w:eastAsia="宋体" w:cs="宋体"/>
          <w:color w:val="auto"/>
          <w:sz w:val="24"/>
          <w:szCs w:val="24"/>
        </w:rPr>
        <w:t>10</w:t>
      </w:r>
      <w:r>
        <w:rPr>
          <w:rFonts w:hint="eastAsia" w:ascii="宋体" w:hAnsi="宋体" w:eastAsia="宋体" w:cs="宋体"/>
          <w:color w:val="auto"/>
          <w:sz w:val="24"/>
          <w:szCs w:val="24"/>
        </w:rPr>
        <w:t>分钟，考生必须凭学生证（或身份证）进入考场，按指定座位入座，没有学生证的学生须持身份证入场，把证件放在桌子的右上方，以备监考人员核查，没有上</w:t>
      </w:r>
      <w:r>
        <w:rPr>
          <w:rFonts w:hint="eastAsia" w:ascii="宋体" w:hAnsi="宋体" w:eastAsia="宋体" w:cs="宋体"/>
          <w:color w:val="auto"/>
          <w:kern w:val="0"/>
          <w:sz w:val="24"/>
          <w:szCs w:val="24"/>
        </w:rPr>
        <w:t>述证件不得进场考试。</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第三条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闭卷考试时，除规定的考试用具外，其他用具一律禁止带入座位，应集中放在教室前面、讲台周围；所有文具未经允许不准互借，不准垫纸、垫本。</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第四条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考生必须关闭所有通讯工具，通讯工具不关闭者按作弊处理。</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第五条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考生在试卷分发后，须核对试卷考试科目及试卷是否缺损，如有缺页、破损，应立即举手报告监考人员。考生还必须将本人的学号及姓名清楚、正确地填写在规定位置，切勿遗漏。</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第六条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考生答题（特殊要求除外）一律用蓝、黑色钢笔或蓝、黑色圆珠笔书写，字迹要工整、清楚。在草稿纸上答题一律无效。如遇字迹不清，可举手询问，但对试题内容不得要求监考人员作任何解释。</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第七条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中途离场考生必须交卷</w:t>
      </w:r>
      <w:r>
        <w:rPr>
          <w:rFonts w:ascii="宋体" w:hAnsi="Calibri" w:eastAsia="宋体" w:cs="宋体"/>
          <w:color w:val="auto"/>
          <w:kern w:val="0"/>
          <w:sz w:val="24"/>
          <w:szCs w:val="24"/>
        </w:rPr>
        <w:t>,</w:t>
      </w:r>
      <w:r>
        <w:rPr>
          <w:rFonts w:hint="eastAsia" w:ascii="宋体" w:hAnsi="宋体" w:eastAsia="宋体" w:cs="宋体"/>
          <w:color w:val="auto"/>
          <w:kern w:val="0"/>
          <w:sz w:val="24"/>
          <w:szCs w:val="24"/>
        </w:rPr>
        <w:t>离场后不得以任何理由再进场继续考试。考生交卷后，不得在考场内或附近逗留谈论。</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第八条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生必须严格遵守考场规则，严禁交头接耳、左顾右盼；吸烟、吃东西、随意走动；严禁携带、传递或抄袭与考试课程有关的材料；严禁乱写姓名、代考等作弊行为。如发现有作弊行为者，按学院有关规定，严肃查处。</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第九条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考试结束前</w:t>
      </w:r>
      <w:r>
        <w:rPr>
          <w:rFonts w:ascii="宋体" w:hAnsi="宋体" w:eastAsia="宋体" w:cs="宋体"/>
          <w:color w:val="auto"/>
          <w:kern w:val="0"/>
          <w:sz w:val="24"/>
          <w:szCs w:val="24"/>
        </w:rPr>
        <w:t>5</w:t>
      </w:r>
      <w:r>
        <w:rPr>
          <w:rFonts w:hint="eastAsia" w:ascii="宋体" w:hAnsi="宋体" w:eastAsia="宋体" w:cs="宋体"/>
          <w:color w:val="auto"/>
          <w:kern w:val="0"/>
          <w:sz w:val="24"/>
          <w:szCs w:val="24"/>
        </w:rPr>
        <w:t>分钟内不允许提前交卷；考试时间一到，考生应立即停止答题，并将试卷有文字的一面朝内折叠好放在桌面上，待监考人员依次收齐全部试卷后，方可离开考场。</w:t>
      </w:r>
    </w:p>
    <w:p>
      <w:pPr>
        <w:widowControl/>
        <w:autoSpaceDE w:val="0"/>
        <w:autoSpaceDN w:val="0"/>
        <w:adjustRightInd w:val="0"/>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第十条</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考试结束后，必须交卷。到时不交卷或继续答题者，监考人员有权根据情况进行处理，严禁将考卷带出考场。</w:t>
      </w:r>
    </w:p>
    <w:p>
      <w:pPr>
        <w:autoSpaceDE w:val="0"/>
        <w:autoSpaceDN w:val="0"/>
        <w:adjustRightInd w:val="0"/>
        <w:spacing w:line="360" w:lineRule="auto"/>
        <w:ind w:firstLine="480" w:firstLineChars="200"/>
        <w:rPr>
          <w:rFonts w:ascii="宋体" w:hAnsi="Calibri" w:eastAsia="宋体" w:cs="Calibri"/>
          <w:color w:val="auto"/>
          <w:sz w:val="24"/>
          <w:szCs w:val="24"/>
        </w:rPr>
      </w:pPr>
    </w:p>
    <w:p>
      <w:pPr>
        <w:pStyle w:val="12"/>
        <w:spacing w:before="0" w:after="0" w:line="360" w:lineRule="auto"/>
        <w:ind w:firstLine="482" w:firstLineChars="200"/>
        <w:rPr>
          <w:rFonts w:ascii="宋体" w:eastAsia="宋体" w:cs="Times New Roman"/>
          <w:color w:val="auto"/>
          <w:sz w:val="24"/>
          <w:szCs w:val="24"/>
        </w:rPr>
      </w:pPr>
      <w:r>
        <w:rPr>
          <w:rFonts w:ascii="宋体" w:eastAsia="宋体" w:cs="Times New Roman"/>
          <w:color w:val="auto"/>
          <w:sz w:val="24"/>
          <w:szCs w:val="24"/>
        </w:rPr>
        <w:br w:type="page"/>
      </w:r>
    </w:p>
    <w:p>
      <w:pPr>
        <w:pStyle w:val="3"/>
        <w:bidi w:val="0"/>
        <w:jc w:val="center"/>
        <w:rPr>
          <w:color w:val="auto"/>
        </w:rPr>
      </w:pPr>
      <w:bookmarkStart w:id="36" w:name="_Toc22801"/>
      <w:r>
        <w:rPr>
          <w:rFonts w:hint="eastAsia"/>
          <w:color w:val="auto"/>
        </w:rPr>
        <w:t>教师监考守则</w:t>
      </w:r>
      <w:bookmarkEnd w:id="36"/>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监考是做好考试工作、提高考试质量，监视考生应试，制止考生违反考试纪律的行为，维护考试秩序，保证考试正常进行的措施，是考试成败的关键。全体教师，特别是各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教研室负责人，应高度重视监考工作，做到思想重视、精心组织，保证考试质量和良好考风考纪。凡担任监考的教师在监考期间要认真履行监考人员工作职责，严格执行监考人员操作规则，对待每位考生做到严格、公平、公正。监考失职者，将根据学院相关制度，追究其责任。为明确监考人员的职责及操作规则，特制定本守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一、监考人员应以认真负责的态度执行监考任务。如有特殊情况不能参加监考，应提前三天向</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（部）办理请假或调动手续，考试前两天交</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备案。</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二、监考人员应在考试之前</w:t>
      </w:r>
      <w:r>
        <w:rPr>
          <w:rFonts w:ascii="宋体" w:hAnsi="宋体" w:eastAsia="宋体" w:cs="Times New Roman"/>
          <w:color w:val="auto"/>
          <w:sz w:val="24"/>
          <w:szCs w:val="24"/>
        </w:rPr>
        <w:t xml:space="preserve"> 15</w:t>
      </w:r>
      <w:r>
        <w:rPr>
          <w:rFonts w:hint="eastAsia" w:ascii="宋体" w:hAnsi="宋体" w:eastAsia="宋体" w:cs="Times New Roman"/>
          <w:color w:val="auto"/>
          <w:sz w:val="24"/>
          <w:szCs w:val="24"/>
        </w:rPr>
        <w:t>分钟领取试卷，提前进入考场，在黑板上公布本场考试科目并做好考试前的试卷分发准备工作。</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监考人员应在开考前做好考试清场工作，要求学生将规定不能携带入试场的物品如书籍、讲义、笔记、资料、手机、电子辞典、计算器等放在指定位置；向学生宣读考试纪律和有关注意事项，宣读考试违纪处分条例的有关规定；检查学生隔位就座或按指定位置就座情况，核对学生的有效身份证件（考试证、身份证或者学生证），核对应考人数和实考人数。考试开始，准时发卷。</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四、监考人员对试题内容、题意不得作任何解释或启示，若试卷字迹不清，可向学生指明。</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五、认真检查学生遵守考试纪律情况，迟到</w:t>
      </w:r>
      <w:r>
        <w:rPr>
          <w:rFonts w:ascii="宋体" w:hAnsi="宋体" w:eastAsia="宋体" w:cs="Times New Roman"/>
          <w:color w:val="auto"/>
          <w:sz w:val="24"/>
          <w:szCs w:val="24"/>
        </w:rPr>
        <w:t>30</w:t>
      </w:r>
      <w:r>
        <w:rPr>
          <w:rFonts w:hint="eastAsia" w:ascii="宋体" w:hAnsi="宋体" w:eastAsia="宋体" w:cs="Times New Roman"/>
          <w:color w:val="auto"/>
          <w:sz w:val="24"/>
          <w:szCs w:val="24"/>
        </w:rPr>
        <w:t>分钟以上的学生，不允许其入场，以旷考记录。如发现学生有违纪或作弊苗头，应立即给予口头警告；如学生不听警告继续发生违纪或作弊行为，应当场认定并没收作弊物证（要求学生在作弊证据上确认并签名），收回试卷，可令其退出考场，监考教师在其考卷上注明</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违纪</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或</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作弊</w:t>
      </w:r>
      <w:r>
        <w:rPr>
          <w:rFonts w:hint="eastAsia" w:ascii="宋体" w:hAnsi="Calibri" w:eastAsia="宋体" w:cs="Times New Roman"/>
          <w:color w:val="auto"/>
          <w:sz w:val="24"/>
          <w:szCs w:val="24"/>
        </w:rPr>
        <w:t>”</w:t>
      </w:r>
      <w:r>
        <w:rPr>
          <w:rFonts w:hint="eastAsia" w:ascii="宋体" w:hAnsi="宋体" w:eastAsia="宋体" w:cs="Times New Roman"/>
          <w:color w:val="auto"/>
          <w:sz w:val="24"/>
          <w:szCs w:val="24"/>
        </w:rPr>
        <w:t>字样并签名，将考试卷放回原班级排序里。考试结束，如实填写《考场情况记录表》。</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监考人员应严格遵守教学纪律，认真履行监考职责，自始至终维持好考场秩序。要求监考人员一前一后，一左一右。若不认真履行职责，如看书看报，接打手机，聚集聊天，擅离职守，给学生暗示答案，对考场上的违纪作弊行为不加制止、不如实记录或隐瞒不报等，一经查实，视情节轻重给予批评或纪律处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七、监考人员应在考试结束前</w:t>
      </w:r>
      <w:r>
        <w:rPr>
          <w:rFonts w:ascii="宋体" w:hAnsi="宋体" w:eastAsia="宋体" w:cs="Times New Roman"/>
          <w:color w:val="auto"/>
          <w:sz w:val="24"/>
          <w:szCs w:val="24"/>
        </w:rPr>
        <w:t>10</w:t>
      </w:r>
      <w:r>
        <w:rPr>
          <w:rFonts w:hint="eastAsia" w:ascii="宋体" w:hAnsi="宋体" w:eastAsia="宋体" w:cs="Times New Roman"/>
          <w:color w:val="auto"/>
          <w:sz w:val="24"/>
          <w:szCs w:val="24"/>
        </w:rPr>
        <w:t>分钟，提醒学生掌握时间。考试结束按学号收齐清点试卷，待考卷清点无误后，组织学生退场。详细填写《监考情况记录表》连同试卷及时送交</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八、监考人员对学生应关心爱护，学生有病应予特别注意，如学生不能坚持考试，及时请场外工作人员陪去治疗。</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九、对考后的考场进行清场，关闭考场内的各种电器，将考试留下的废纸等收拾干净，关好门窗。</w:t>
      </w:r>
    </w:p>
    <w:p>
      <w:pPr>
        <w:widowControl/>
        <w:jc w:val="left"/>
        <w:rPr>
          <w:rFonts w:ascii="Calibri" w:hAnsi="Calibri" w:eastAsia="宋体" w:cs="Times New Roman"/>
          <w:color w:val="auto"/>
        </w:rPr>
      </w:pPr>
      <w:r>
        <w:rPr>
          <w:rFonts w:ascii="Calibri" w:hAnsi="Calibri" w:eastAsia="宋体" w:cs="Times New Roman"/>
          <w:color w:val="auto"/>
        </w:rPr>
        <w:br w:type="page"/>
      </w:r>
    </w:p>
    <w:p>
      <w:pPr>
        <w:pStyle w:val="3"/>
        <w:bidi w:val="0"/>
        <w:jc w:val="center"/>
        <w:rPr>
          <w:color w:val="auto"/>
        </w:rPr>
      </w:pPr>
      <w:bookmarkStart w:id="37" w:name="_Toc7776"/>
      <w:r>
        <w:rPr>
          <w:rFonts w:hint="eastAsia"/>
          <w:color w:val="auto"/>
        </w:rPr>
        <w:t>学生学籍管理规定</w:t>
      </w:r>
      <w:bookmarkEnd w:id="37"/>
    </w:p>
    <w:p>
      <w:pPr>
        <w:snapToGrid w:val="0"/>
        <w:spacing w:line="360" w:lineRule="auto"/>
        <w:ind w:firstLine="480" w:firstLineChars="200"/>
        <w:rPr>
          <w:rFonts w:ascii="Times New Roman" w:hAnsi="Times New Roman" w:eastAsia="宋体" w:cs="Times New Roman"/>
          <w:color w:val="auto"/>
          <w:sz w:val="24"/>
          <w:szCs w:val="24"/>
        </w:rPr>
      </w:pP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为了维护学院正常的教育教学秩序，培养德智体美劳全面发展的学生，根据教育部颁发的《普通高等学校学生管理规定》（教育部令第</w:t>
      </w:r>
      <w:r>
        <w:rPr>
          <w:rFonts w:ascii="Times New Roman" w:hAnsi="Times New Roman" w:eastAsia="宋体" w:cs="Times New Roman"/>
          <w:color w:val="auto"/>
          <w:sz w:val="24"/>
          <w:szCs w:val="24"/>
        </w:rPr>
        <w:t>41</w:t>
      </w:r>
      <w:r>
        <w:rPr>
          <w:rFonts w:hint="eastAsia" w:ascii="Times New Roman" w:hAnsi="Times New Roman" w:eastAsia="宋体" w:cs="Times New Roman"/>
          <w:color w:val="auto"/>
          <w:sz w:val="24"/>
          <w:szCs w:val="24"/>
        </w:rPr>
        <w:t>号），结合学院管理实际情况，制定本规定。</w:t>
      </w:r>
    </w:p>
    <w:p>
      <w:pPr>
        <w:widowControl w:val="0"/>
        <w:numPr>
          <w:ilvl w:val="0"/>
          <w:numId w:val="32"/>
        </w:numPr>
        <w:snapToGrid w:val="0"/>
        <w:spacing w:line="360" w:lineRule="auto"/>
        <w:ind w:left="0" w:firstLine="482" w:firstLineChars="200"/>
        <w:jc w:val="center"/>
        <w:rPr>
          <w:rFonts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入学与注册</w:t>
      </w:r>
    </w:p>
    <w:p>
      <w:pPr>
        <w:widowControl w:val="0"/>
        <w:snapToGrid w:val="0"/>
        <w:spacing w:line="360" w:lineRule="auto"/>
        <w:ind w:firstLine="480" w:firstLineChars="200"/>
        <w:jc w:val="both"/>
        <w:rPr>
          <w:rFonts w:ascii="Times New Roman" w:hAnsi="Times New Roman" w:eastAsia="宋体" w:cs="Times New Roman"/>
          <w:color w:val="auto"/>
          <w:kern w:val="2"/>
          <w:sz w:val="24"/>
          <w:szCs w:val="24"/>
          <w:lang w:val="en-US" w:eastAsia="zh-CN" w:bidi="ar-SA"/>
        </w:rPr>
      </w:pP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第一条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按国家招生规定录取的新生，持录取通知书及有关证件，按学院有关要求和规定的期限到校办理入学手续。因故不能按时入学的，必须提前向学院请假。凡未经请假或请假逾期的，除因不可抗力等正当事由以外，视为放弃入学资格。</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第二条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院按照招生规定在报到时对新生入学资格进行初步审查，审查合格的办理入学手续，予以注册学籍；审查发现新生的录取通知、考生信息等证明材料，与本人实际情况不符，或者有其他违反国家招生考试规定情形的，取消入学资格。</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新生有以下情形之一可以申请保留入学资格，保留入学资格期间不具有学籍。</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（一）新生因患有疾病，</w:t>
      </w:r>
      <w:r>
        <w:rPr>
          <w:rFonts w:hint="eastAsia" w:ascii="Times New Roman" w:hAnsi="Times New Roman" w:eastAsia="宋体" w:cs="Times New Roman"/>
          <w:color w:val="auto"/>
          <w:sz w:val="24"/>
          <w:szCs w:val="24"/>
        </w:rPr>
        <w:t>经由学院指定的二级甲等以上医院确诊不宜在校学习的，</w:t>
      </w:r>
      <w:r>
        <w:rPr>
          <w:rFonts w:hint="eastAsia" w:ascii="Times New Roman" w:hAnsi="Times New Roman" w:eastAsia="宋体" w:cs="Times New Roman"/>
          <w:color w:val="auto"/>
          <w:kern w:val="0"/>
          <w:sz w:val="24"/>
          <w:szCs w:val="24"/>
        </w:rPr>
        <w:t>可以申请保留入学资格</w:t>
      </w:r>
      <w:r>
        <w:rPr>
          <w:rFonts w:ascii="Times New Roman" w:hAnsi="Times New Roman" w:eastAsia="宋体" w:cs="Times New Roman"/>
          <w:color w:val="auto"/>
          <w:kern w:val="0"/>
          <w:sz w:val="24"/>
          <w:szCs w:val="24"/>
        </w:rPr>
        <w:t>1</w:t>
      </w:r>
      <w:r>
        <w:rPr>
          <w:rFonts w:hint="eastAsia" w:ascii="Times New Roman" w:hAnsi="Times New Roman" w:eastAsia="宋体" w:cs="Times New Roman"/>
          <w:color w:val="auto"/>
          <w:kern w:val="0"/>
          <w:sz w:val="24"/>
          <w:szCs w:val="24"/>
        </w:rPr>
        <w:t>年。</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（二）应征入伍义务服兵役的新生，服役期间按国家有关规定保留入学资格，退役后</w:t>
      </w:r>
      <w:r>
        <w:rPr>
          <w:rFonts w:ascii="Times New Roman" w:hAnsi="Times New Roman" w:eastAsia="宋体" w:cs="Times New Roman"/>
          <w:color w:val="auto"/>
          <w:kern w:val="0"/>
          <w:sz w:val="24"/>
          <w:szCs w:val="24"/>
        </w:rPr>
        <w:t>2</w:t>
      </w:r>
      <w:r>
        <w:rPr>
          <w:rFonts w:hint="eastAsia" w:ascii="Times New Roman" w:hAnsi="Times New Roman" w:eastAsia="宋体" w:cs="Times New Roman"/>
          <w:color w:val="auto"/>
          <w:kern w:val="0"/>
          <w:sz w:val="24"/>
          <w:szCs w:val="24"/>
        </w:rPr>
        <w:t>年内允许办理复学。</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新生开学时需携带录取通知书和相关证明（医疗证明、入伍通知书等）到</w:t>
      </w:r>
      <w:r>
        <w:rPr>
          <w:rFonts w:hint="eastAsia" w:ascii="Times New Roman" w:hAnsi="Times New Roman" w:eastAsia="宋体" w:cs="Times New Roman"/>
          <w:color w:val="auto"/>
          <w:kern w:val="0"/>
          <w:sz w:val="24"/>
          <w:szCs w:val="24"/>
          <w:lang w:eastAsia="zh-CN"/>
        </w:rPr>
        <w:t>教务部</w:t>
      </w:r>
      <w:r>
        <w:rPr>
          <w:rFonts w:hint="eastAsia" w:ascii="Times New Roman" w:hAnsi="Times New Roman" w:eastAsia="宋体" w:cs="Times New Roman"/>
          <w:color w:val="auto"/>
          <w:kern w:val="0"/>
          <w:sz w:val="24"/>
          <w:szCs w:val="24"/>
        </w:rPr>
        <w:t>申请办理保留入学资格手续，填写《保留入学资格申请表》并提交证明材料，经学院审核通过后方可保留入学资格。</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新生保留入学资格期满前应向</w:t>
      </w:r>
      <w:r>
        <w:rPr>
          <w:rFonts w:hint="eastAsia" w:ascii="Times New Roman" w:hAnsi="Times New Roman" w:eastAsia="宋体" w:cs="Times New Roman"/>
          <w:color w:val="auto"/>
          <w:sz w:val="24"/>
          <w:szCs w:val="24"/>
          <w:lang w:eastAsia="zh-CN"/>
        </w:rPr>
        <w:t>教务部</w:t>
      </w:r>
      <w:r>
        <w:rPr>
          <w:rFonts w:hint="eastAsia" w:ascii="Times New Roman" w:hAnsi="Times New Roman" w:eastAsia="宋体" w:cs="Times New Roman"/>
          <w:color w:val="auto"/>
          <w:sz w:val="24"/>
          <w:szCs w:val="24"/>
        </w:rPr>
        <w:t>申请入学，经</w:t>
      </w:r>
      <w:r>
        <w:rPr>
          <w:rFonts w:hint="eastAsia" w:ascii="Times New Roman" w:hAnsi="Times New Roman" w:eastAsia="宋体" w:cs="Times New Roman"/>
          <w:color w:val="auto"/>
          <w:sz w:val="24"/>
          <w:szCs w:val="24"/>
          <w:lang w:eastAsia="zh-CN"/>
        </w:rPr>
        <w:t>教务部</w:t>
      </w:r>
      <w:r>
        <w:rPr>
          <w:rFonts w:hint="eastAsia" w:ascii="Times New Roman" w:hAnsi="Times New Roman" w:eastAsia="宋体" w:cs="Times New Roman"/>
          <w:color w:val="auto"/>
          <w:sz w:val="24"/>
          <w:szCs w:val="24"/>
        </w:rPr>
        <w:t>审查合格后，办理入学手续。审查不合格的，取消入学资格；逾期不办理入学手续且未有因不可抗力延迟等正当理由的，视为放弃入学资格。</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color w:val="auto"/>
          <w:sz w:val="24"/>
          <w:szCs w:val="24"/>
        </w:rPr>
        <w:t>第四条</w:t>
      </w:r>
      <w:r>
        <w:rPr>
          <w:rFonts w:ascii="Times New Roman" w:hAnsi="Times New Roman" w:eastAsia="宋体" w:cs="Times New Roman"/>
          <w:b/>
          <w:color w:val="auto"/>
          <w:sz w:val="24"/>
          <w:szCs w:val="24"/>
        </w:rPr>
        <w:t xml:space="preserve"> </w:t>
      </w:r>
      <w:r>
        <w:rPr>
          <w:rFonts w:hint="eastAsia" w:ascii="Times New Roman" w:hAnsi="Times New Roman" w:eastAsia="宋体" w:cs="Times New Roman"/>
          <w:color w:val="auto"/>
          <w:sz w:val="24"/>
          <w:szCs w:val="24"/>
        </w:rPr>
        <w:t>保留入学资格的具体办法详见《广东江门中医药职业学院新生保留入学资格办法（试行）》。</w:t>
      </w:r>
    </w:p>
    <w:p>
      <w:pPr>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学生入学后，学院在</w:t>
      </w:r>
      <w:r>
        <w:rPr>
          <w:rFonts w:ascii="Times New Roman" w:hAnsi="Times New Roman" w:eastAsia="宋体" w:cs="Times New Roman"/>
          <w:color w:val="auto"/>
          <w:kern w:val="0"/>
          <w:sz w:val="24"/>
          <w:szCs w:val="24"/>
        </w:rPr>
        <w:t>3</w:t>
      </w:r>
      <w:r>
        <w:rPr>
          <w:rFonts w:hint="eastAsia" w:ascii="Times New Roman" w:hAnsi="Times New Roman" w:eastAsia="宋体" w:cs="Times New Roman"/>
          <w:color w:val="auto"/>
          <w:kern w:val="0"/>
          <w:sz w:val="24"/>
          <w:szCs w:val="24"/>
        </w:rPr>
        <w:t>个月内按照国家招生规定进行复查。复查内容主要包括以下方面：</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（一）录取手续及程序等是否合乎国家招生规定；</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（二）所获得的录取资格是否真实、合乎相关规定；</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（三）本人及身份证明与录取通知、考生档案等是否一致；</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（四）身心健康状况是否符合报考专业或者专业类别体检要求，能否保证在校正常学习、生活；</w:t>
      </w:r>
    </w:p>
    <w:p>
      <w:pPr>
        <w:snapToGrid w:val="0"/>
        <w:spacing w:line="360" w:lineRule="auto"/>
        <w:ind w:firstLine="482" w:firstLineChars="200"/>
        <w:rPr>
          <w:rFonts w:ascii="Times New Roman" w:hAnsi="Times New Roman" w:eastAsia="宋体" w:cs="Times New Roman"/>
          <w:b/>
          <w:color w:val="auto"/>
          <w:sz w:val="24"/>
          <w:szCs w:val="24"/>
        </w:rPr>
      </w:pPr>
      <w:r>
        <w:rPr>
          <w:rFonts w:hint="eastAsia" w:ascii="Times New Roman" w:hAnsi="Times New Roman" w:eastAsia="宋体" w:cs="Times New Roman"/>
          <w:b/>
          <w:color w:val="auto"/>
          <w:kern w:val="0"/>
          <w:sz w:val="24"/>
          <w:szCs w:val="24"/>
        </w:rPr>
        <w:t>第六条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新生入学资格复查的具体办法详见《广东江门中医药职业学院新生入学资格复查办法》。</w:t>
      </w:r>
    </w:p>
    <w:p>
      <w:pPr>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sz w:val="24"/>
          <w:szCs w:val="24"/>
        </w:rPr>
        <w:t>第七条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kern w:val="0"/>
          <w:sz w:val="24"/>
          <w:szCs w:val="24"/>
        </w:rPr>
        <w:t>每学期开学，学生应当按学院规定办理注册手续。不能如期注册的，应当办理暂缓注册手续。未按学院规定缴纳学费或者其他不符合注册条件的，不予注册。</w:t>
      </w:r>
    </w:p>
    <w:p>
      <w:pPr>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家庭经济困难者可以申请贷款或其他形式资助，办理有关手续后注册。</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color w:val="auto"/>
          <w:sz w:val="24"/>
          <w:szCs w:val="24"/>
        </w:rPr>
        <w:t>第八条</w:t>
      </w:r>
      <w:r>
        <w:rPr>
          <w:rFonts w:ascii="Times New Roman" w:hAnsi="Times New Roman" w:eastAsia="宋体" w:cs="Times New Roman"/>
          <w:b/>
          <w:color w:val="auto"/>
          <w:sz w:val="24"/>
          <w:szCs w:val="24"/>
        </w:rPr>
        <w:t xml:space="preserve"> </w:t>
      </w:r>
      <w:r>
        <w:rPr>
          <w:rFonts w:hint="eastAsia" w:ascii="Times New Roman" w:hAnsi="Times New Roman" w:eastAsia="宋体" w:cs="Times New Roman"/>
          <w:color w:val="auto"/>
          <w:sz w:val="24"/>
          <w:szCs w:val="24"/>
        </w:rPr>
        <w:t>学籍注册的具体办法详见《广东江门中医药职业学院学籍注册管理办法</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试行</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w:t>
      </w:r>
    </w:p>
    <w:p>
      <w:pPr>
        <w:snapToGrid w:val="0"/>
        <w:spacing w:line="360" w:lineRule="auto"/>
        <w:ind w:firstLine="482" w:firstLineChars="200"/>
        <w:jc w:val="center"/>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第二章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考核与成绩记载</w:t>
      </w:r>
    </w:p>
    <w:p>
      <w:pPr>
        <w:snapToGrid w:val="0"/>
        <w:spacing w:line="360" w:lineRule="auto"/>
        <w:ind w:firstLine="480" w:firstLineChars="200"/>
        <w:jc w:val="center"/>
        <w:rPr>
          <w:rFonts w:ascii="Times New Roman" w:hAnsi="Times New Roman" w:eastAsia="宋体" w:cs="Times New Roman"/>
          <w:color w:val="auto"/>
          <w:sz w:val="24"/>
          <w:szCs w:val="24"/>
        </w:rPr>
      </w:pP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第九条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学生应当参加专业人才培养方案规定的课程和各种教育教学环节（以下统称课程）的考核，考核成绩记入成绩册，并归入本人档案。</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考核分为考试和考查两种。考核和成绩评定方式，以及考核不合格的课程是否重修或者补考，详见《广东江门中医药职业学院考务管理办法》。</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第十一条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学生思想品德的考核、鉴定，要以《高等学校学生行为准则》为主要依据，采取个人小结，师生民主评议等形式进行。学生体育课的成绩应当根据考勤、课内教学和课外锻炼活动的情况综合评定。</w:t>
      </w:r>
    </w:p>
    <w:p>
      <w:pPr>
        <w:autoSpaceDE w:val="0"/>
        <w:autoSpaceDN w:val="0"/>
        <w:adjustRightInd w:val="0"/>
        <w:snapToGrid w:val="0"/>
        <w:spacing w:line="360" w:lineRule="auto"/>
        <w:ind w:firstLine="482" w:firstLineChars="200"/>
        <w:jc w:val="center"/>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sz w:val="24"/>
          <w:szCs w:val="24"/>
        </w:rPr>
        <w:t>第三章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升级与留级</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第十二条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学生学期或者学年所修课程以及升级、留级、重修等要求。</w:t>
      </w:r>
    </w:p>
    <w:p>
      <w:pPr>
        <w:autoSpaceDE w:val="0"/>
        <w:autoSpaceDN w:val="0"/>
        <w:adjustRightInd w:val="0"/>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（一）学生学完本学年教学计划规定的课程、经考核成绩合格，修满学分，准予升级。</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Cs/>
          <w:color w:val="auto"/>
          <w:kern w:val="0"/>
          <w:sz w:val="24"/>
          <w:szCs w:val="24"/>
        </w:rPr>
        <w:t>（二）</w:t>
      </w:r>
      <w:r>
        <w:rPr>
          <w:rFonts w:hint="eastAsia" w:ascii="Times New Roman" w:hAnsi="Times New Roman" w:eastAsia="宋体" w:cs="Times New Roman"/>
          <w:color w:val="auto"/>
          <w:sz w:val="24"/>
          <w:szCs w:val="24"/>
        </w:rPr>
        <w:t>经过补考一学年内不及格课程（不含选修课），累计总数</w:t>
      </w:r>
      <w:r>
        <w:rPr>
          <w:rFonts w:ascii="Times New Roman" w:hAnsi="Times New Roman" w:eastAsia="宋体" w:cs="Times New Roman"/>
          <w:color w:val="auto"/>
          <w:kern w:val="0"/>
          <w:sz w:val="24"/>
          <w:szCs w:val="24"/>
        </w:rPr>
        <w:t>5</w:t>
      </w:r>
      <w:r>
        <w:rPr>
          <w:rFonts w:hint="eastAsia" w:ascii="Times New Roman" w:hAnsi="Times New Roman" w:eastAsia="宋体" w:cs="Times New Roman"/>
          <w:color w:val="auto"/>
          <w:kern w:val="0"/>
          <w:sz w:val="24"/>
          <w:szCs w:val="24"/>
        </w:rPr>
        <w:t>门及</w:t>
      </w:r>
      <w:r>
        <w:rPr>
          <w:rFonts w:ascii="Times New Roman" w:hAnsi="Times New Roman" w:eastAsia="宋体" w:cs="Times New Roman"/>
          <w:color w:val="auto"/>
          <w:kern w:val="0"/>
          <w:sz w:val="24"/>
          <w:szCs w:val="24"/>
        </w:rPr>
        <w:t>5</w:t>
      </w:r>
      <w:r>
        <w:rPr>
          <w:rFonts w:hint="eastAsia" w:ascii="Times New Roman" w:hAnsi="Times New Roman" w:eastAsia="宋体" w:cs="Times New Roman"/>
          <w:color w:val="auto"/>
          <w:kern w:val="0"/>
          <w:sz w:val="24"/>
          <w:szCs w:val="24"/>
        </w:rPr>
        <w:t>门以上者</w:t>
      </w:r>
      <w:r>
        <w:rPr>
          <w:rFonts w:hint="eastAsia" w:ascii="Times New Roman" w:hAnsi="Times New Roman" w:eastAsia="宋体" w:cs="Times New Roman"/>
          <w:color w:val="auto"/>
          <w:sz w:val="24"/>
          <w:szCs w:val="24"/>
        </w:rPr>
        <w:t>，编入下一年级（留级）学习。如所在专业下一年没有招生，可转入相近专业学习，并按转入专业的人才培养方案继续学习，同时要求自行补修转专业前未修的专业课程。如无相近专业或本人不同意转专业，可作退学处理。</w:t>
      </w:r>
    </w:p>
    <w:p>
      <w:pPr>
        <w:spacing w:line="360" w:lineRule="auto"/>
        <w:ind w:firstLine="480" w:firstLineChars="200"/>
        <w:rPr>
          <w:rFonts w:ascii="Times New Roman" w:hAnsi="Times New Roman" w:eastAsia="宋体" w:cs="Times New Roman"/>
          <w:strike/>
          <w:color w:val="auto"/>
          <w:sz w:val="24"/>
          <w:szCs w:val="24"/>
        </w:rPr>
      </w:pPr>
      <w:r>
        <w:rPr>
          <w:rFonts w:hint="eastAsia" w:ascii="Times New Roman" w:hAnsi="Times New Roman" w:eastAsia="宋体" w:cs="Times New Roman"/>
          <w:color w:val="auto"/>
          <w:sz w:val="24"/>
          <w:szCs w:val="24"/>
        </w:rPr>
        <w:t>一年级第一学期经补考后不及格课程的总数达</w:t>
      </w:r>
      <w:r>
        <w:rPr>
          <w:rFonts w:ascii="Times New Roman" w:hAnsi="Times New Roman" w:eastAsia="宋体" w:cs="Times New Roman"/>
          <w:color w:val="auto"/>
          <w:sz w:val="24"/>
          <w:szCs w:val="24"/>
        </w:rPr>
        <w:t>3</w:t>
      </w:r>
      <w:r>
        <w:rPr>
          <w:rFonts w:hint="eastAsia" w:ascii="Times New Roman" w:hAnsi="Times New Roman" w:eastAsia="宋体" w:cs="Times New Roman"/>
          <w:color w:val="auto"/>
          <w:sz w:val="24"/>
          <w:szCs w:val="24"/>
        </w:rPr>
        <w:t>门及以上者，一律跟班试读。</w:t>
      </w:r>
    </w:p>
    <w:p>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（三）学生补考不及格课程一学年总数低于</w:t>
      </w:r>
      <w:r>
        <w:rPr>
          <w:rFonts w:ascii="Times New Roman" w:hAnsi="Times New Roman" w:eastAsia="宋体" w:cs="Times New Roman"/>
          <w:color w:val="auto"/>
          <w:sz w:val="24"/>
          <w:szCs w:val="24"/>
        </w:rPr>
        <w:t>5</w:t>
      </w:r>
      <w:r>
        <w:rPr>
          <w:rFonts w:hint="eastAsia" w:ascii="Times New Roman" w:hAnsi="Times New Roman" w:eastAsia="宋体" w:cs="Times New Roman"/>
          <w:color w:val="auto"/>
          <w:sz w:val="24"/>
          <w:szCs w:val="24"/>
        </w:rPr>
        <w:t>门者，可随原班学习，但专业必修课、公共必修课补考不及格的应重修，如本学期所修的课程与重修课的上课时间不冲突，可随下一年级上课重修；如上课时间与重修课程冲突，则采用在任课教师指导下学生自学的方式重修。</w:t>
      </w:r>
    </w:p>
    <w:p>
      <w:pPr>
        <w:widowControl/>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sz w:val="24"/>
          <w:szCs w:val="24"/>
        </w:rPr>
        <w:t>（四）新学期开学前</w:t>
      </w:r>
      <w:r>
        <w:rPr>
          <w:rFonts w:ascii="Times New Roman" w:hAnsi="Times New Roman" w:eastAsia="宋体" w:cs="Times New Roman"/>
          <w:color w:val="auto"/>
          <w:sz w:val="24"/>
          <w:szCs w:val="24"/>
        </w:rPr>
        <w:t>3</w:t>
      </w:r>
      <w:r>
        <w:rPr>
          <w:rFonts w:hint="eastAsia" w:ascii="Times New Roman" w:hAnsi="Times New Roman" w:eastAsia="宋体" w:cs="Times New Roman"/>
          <w:color w:val="auto"/>
          <w:sz w:val="24"/>
          <w:szCs w:val="24"/>
        </w:rPr>
        <w:t>周，各</w:t>
      </w:r>
      <w:r>
        <w:rPr>
          <w:rFonts w:hint="eastAsia" w:ascii="Times New Roman" w:hAnsi="Times New Roman" w:eastAsia="宋体" w:cs="Times New Roman"/>
          <w:color w:val="auto"/>
          <w:sz w:val="24"/>
          <w:szCs w:val="24"/>
          <w:lang w:eastAsia="zh-CN"/>
        </w:rPr>
        <w:t>二级学院</w:t>
      </w:r>
      <w:r>
        <w:rPr>
          <w:rFonts w:hint="eastAsia" w:ascii="Times New Roman" w:hAnsi="Times New Roman" w:eastAsia="宋体" w:cs="Times New Roman"/>
          <w:color w:val="auto"/>
          <w:sz w:val="24"/>
          <w:szCs w:val="24"/>
        </w:rPr>
        <w:t>应对考核不及格的学生做出全面审查，将达到编入下一年级学习的学生名单及其成绩</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kern w:val="0"/>
          <w:sz w:val="24"/>
          <w:szCs w:val="24"/>
        </w:rPr>
        <w:t>由所在</w:t>
      </w:r>
      <w:r>
        <w:rPr>
          <w:rFonts w:hint="eastAsia" w:ascii="Times New Roman" w:hAnsi="Times New Roman" w:eastAsia="宋体" w:cs="Times New Roman"/>
          <w:color w:val="auto"/>
          <w:kern w:val="0"/>
          <w:sz w:val="24"/>
          <w:szCs w:val="24"/>
          <w:lang w:eastAsia="zh-CN"/>
        </w:rPr>
        <w:t>二级学院</w:t>
      </w:r>
      <w:r>
        <w:rPr>
          <w:rFonts w:hint="eastAsia" w:ascii="Times New Roman" w:hAnsi="Times New Roman" w:eastAsia="宋体" w:cs="Times New Roman"/>
          <w:color w:val="auto"/>
          <w:kern w:val="0"/>
          <w:sz w:val="24"/>
          <w:szCs w:val="24"/>
        </w:rPr>
        <w:t>填写</w:t>
      </w:r>
      <w:r>
        <w:rPr>
          <w:rFonts w:ascii="Times New Roman" w:hAnsi="Times New Roman" w:eastAsia="宋体" w:cs="Times New Roman"/>
          <w:color w:val="auto"/>
          <w:kern w:val="0"/>
          <w:sz w:val="24"/>
          <w:szCs w:val="24"/>
        </w:rPr>
        <w:t>“</w:t>
      </w:r>
      <w:r>
        <w:rPr>
          <w:rFonts w:hint="eastAsia" w:ascii="Times New Roman" w:hAnsi="Times New Roman" w:eastAsia="宋体" w:cs="Times New Roman"/>
          <w:color w:val="auto"/>
          <w:kern w:val="0"/>
          <w:sz w:val="24"/>
          <w:szCs w:val="24"/>
        </w:rPr>
        <w:t>广东江门中医药职业学院学生学籍变动审批表</w:t>
      </w:r>
      <w:r>
        <w:rPr>
          <w:rFonts w:ascii="Times New Roman" w:hAnsi="Times New Roman" w:eastAsia="宋体" w:cs="Times New Roman"/>
          <w:color w:val="auto"/>
          <w:kern w:val="0"/>
          <w:sz w:val="24"/>
          <w:szCs w:val="24"/>
        </w:rPr>
        <w:t>”</w:t>
      </w:r>
      <w:r>
        <w:rPr>
          <w:rFonts w:hint="eastAsia" w:ascii="Times New Roman" w:hAnsi="Times New Roman" w:eastAsia="宋体" w:cs="Times New Roman"/>
          <w:color w:val="auto"/>
          <w:kern w:val="0"/>
          <w:sz w:val="24"/>
          <w:szCs w:val="24"/>
        </w:rPr>
        <w:t>，经</w:t>
      </w:r>
      <w:r>
        <w:rPr>
          <w:rFonts w:hint="eastAsia" w:ascii="Times New Roman" w:hAnsi="Times New Roman" w:eastAsia="宋体" w:cs="Times New Roman"/>
          <w:color w:val="auto"/>
          <w:kern w:val="0"/>
          <w:sz w:val="24"/>
          <w:szCs w:val="24"/>
          <w:lang w:eastAsia="zh-CN"/>
        </w:rPr>
        <w:t>教务部</w:t>
      </w:r>
      <w:r>
        <w:rPr>
          <w:rFonts w:hint="eastAsia" w:ascii="Times New Roman" w:hAnsi="Times New Roman" w:eastAsia="宋体" w:cs="Times New Roman"/>
          <w:color w:val="auto"/>
          <w:kern w:val="0"/>
          <w:sz w:val="24"/>
          <w:szCs w:val="24"/>
        </w:rPr>
        <w:t>核对考核成绩认定、复核，报学院批准后，编入下一年级相同（近）专业学习。</w:t>
      </w:r>
    </w:p>
    <w:p>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（五）编入下一年级学习的学生应参加下一年级的各项活动，按下一年级教学计划的要求安排学习。承认其已获得的学分，须重修未获得学分的课程。应重修不重修者，按旷课处理。</w:t>
      </w:r>
    </w:p>
    <w:p>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（六）因学业原因延长修业年限超过标准学制者，应缴纳延长修业年限的培养费（粤价</w:t>
      </w:r>
      <w:r>
        <w:rPr>
          <w:rFonts w:ascii="Times New Roman" w:hAnsi="Times New Roman" w:eastAsia="宋体" w:cs="Times New Roman"/>
          <w:color w:val="auto"/>
          <w:sz w:val="24"/>
          <w:szCs w:val="24"/>
        </w:rPr>
        <w:t>[2007]186</w:t>
      </w:r>
      <w:r>
        <w:rPr>
          <w:rFonts w:hint="eastAsia" w:ascii="Times New Roman" w:hAnsi="Times New Roman" w:eastAsia="宋体" w:cs="Times New Roman"/>
          <w:color w:val="auto"/>
          <w:sz w:val="24"/>
          <w:szCs w:val="24"/>
        </w:rPr>
        <w:t>号）。培养费应于该生在校的延长修业学年第一学期的报到注册前一次性向学院缴清，拒绝缴款者作退学处理。学生在校修读年限不得超过其学制两年（因参军或保留学籍等特殊原因除外）。</w:t>
      </w:r>
    </w:p>
    <w:p>
      <w:pPr>
        <w:widowControl/>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sz w:val="24"/>
          <w:szCs w:val="24"/>
        </w:rPr>
        <w:t>（七）</w:t>
      </w:r>
      <w:r>
        <w:rPr>
          <w:rFonts w:hint="eastAsia" w:ascii="Times New Roman" w:hAnsi="Times New Roman" w:eastAsia="宋体" w:cs="Times New Roman"/>
          <w:color w:val="auto"/>
          <w:kern w:val="0"/>
          <w:sz w:val="24"/>
          <w:szCs w:val="24"/>
        </w:rPr>
        <w:t>计算课程门数依照下列规定：</w:t>
      </w:r>
    </w:p>
    <w:p>
      <w:pPr>
        <w:widowControl/>
        <w:adjustRightInd w:val="0"/>
        <w:snapToGrid w:val="0"/>
        <w:spacing w:line="360" w:lineRule="auto"/>
        <w:ind w:firstLine="480" w:firstLineChars="200"/>
        <w:jc w:val="lef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1.</w:t>
      </w:r>
      <w:r>
        <w:rPr>
          <w:rFonts w:hint="eastAsia" w:ascii="Times New Roman" w:hAnsi="Times New Roman" w:eastAsia="宋体" w:cs="Times New Roman"/>
          <w:color w:val="auto"/>
          <w:kern w:val="0"/>
          <w:sz w:val="24"/>
          <w:szCs w:val="24"/>
        </w:rPr>
        <w:t>如</w:t>
      </w:r>
      <w:r>
        <w:rPr>
          <w:rFonts w:ascii="Times New Roman" w:hAnsi="Times New Roman" w:eastAsia="宋体" w:cs="Times New Roman"/>
          <w:color w:val="auto"/>
          <w:kern w:val="0"/>
          <w:sz w:val="24"/>
          <w:szCs w:val="24"/>
        </w:rPr>
        <w:t>1</w:t>
      </w:r>
      <w:r>
        <w:rPr>
          <w:rFonts w:hint="eastAsia" w:ascii="Times New Roman" w:hAnsi="Times New Roman" w:eastAsia="宋体" w:cs="Times New Roman"/>
          <w:color w:val="auto"/>
          <w:kern w:val="0"/>
          <w:sz w:val="24"/>
          <w:szCs w:val="24"/>
        </w:rPr>
        <w:t>门课程分几个学期讲授，且每个学期都需进行考核的，每学期均按</w:t>
      </w:r>
      <w:r>
        <w:rPr>
          <w:rFonts w:ascii="Times New Roman" w:hAnsi="Times New Roman" w:eastAsia="宋体" w:cs="Times New Roman"/>
          <w:color w:val="auto"/>
          <w:kern w:val="0"/>
          <w:sz w:val="24"/>
          <w:szCs w:val="24"/>
        </w:rPr>
        <w:t>1</w:t>
      </w:r>
      <w:r>
        <w:rPr>
          <w:rFonts w:hint="eastAsia" w:ascii="Times New Roman" w:hAnsi="Times New Roman" w:eastAsia="宋体" w:cs="Times New Roman"/>
          <w:color w:val="auto"/>
          <w:kern w:val="0"/>
          <w:sz w:val="24"/>
          <w:szCs w:val="24"/>
        </w:rPr>
        <w:t>门课程计算；</w:t>
      </w:r>
    </w:p>
    <w:p>
      <w:pPr>
        <w:widowControl/>
        <w:adjustRightInd w:val="0"/>
        <w:snapToGrid w:val="0"/>
        <w:spacing w:line="360" w:lineRule="auto"/>
        <w:ind w:firstLine="480" w:firstLineChars="200"/>
        <w:jc w:val="lef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2.</w:t>
      </w:r>
      <w:r>
        <w:rPr>
          <w:rFonts w:hint="eastAsia" w:ascii="Times New Roman" w:hAnsi="Times New Roman" w:eastAsia="宋体" w:cs="Times New Roman"/>
          <w:color w:val="auto"/>
          <w:kern w:val="0"/>
          <w:sz w:val="24"/>
          <w:szCs w:val="24"/>
        </w:rPr>
        <w:t>教学计划规定的各种实践性教学环节，需单独进行考核的，按</w:t>
      </w:r>
      <w:r>
        <w:rPr>
          <w:rFonts w:ascii="Times New Roman" w:hAnsi="Times New Roman" w:eastAsia="宋体" w:cs="Times New Roman"/>
          <w:color w:val="auto"/>
          <w:kern w:val="0"/>
          <w:sz w:val="24"/>
          <w:szCs w:val="24"/>
        </w:rPr>
        <w:t>1</w:t>
      </w:r>
      <w:r>
        <w:rPr>
          <w:rFonts w:hint="eastAsia" w:ascii="Times New Roman" w:hAnsi="Times New Roman" w:eastAsia="宋体" w:cs="Times New Roman"/>
          <w:color w:val="auto"/>
          <w:kern w:val="0"/>
          <w:sz w:val="24"/>
          <w:szCs w:val="24"/>
        </w:rPr>
        <w:t>门课程计算；</w:t>
      </w:r>
    </w:p>
    <w:p>
      <w:pPr>
        <w:widowControl/>
        <w:adjustRightInd w:val="0"/>
        <w:snapToGrid w:val="0"/>
        <w:spacing w:line="360" w:lineRule="auto"/>
        <w:ind w:firstLine="480" w:firstLineChars="200"/>
        <w:jc w:val="lef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3.</w:t>
      </w:r>
      <w:r>
        <w:rPr>
          <w:rFonts w:hint="eastAsia" w:ascii="Times New Roman" w:hAnsi="Times New Roman" w:eastAsia="宋体" w:cs="Times New Roman"/>
          <w:color w:val="auto"/>
          <w:kern w:val="0"/>
          <w:sz w:val="24"/>
          <w:szCs w:val="24"/>
        </w:rPr>
        <w:t>毕业论文按</w:t>
      </w:r>
      <w:r>
        <w:rPr>
          <w:rFonts w:ascii="Times New Roman" w:hAnsi="Times New Roman" w:eastAsia="宋体" w:cs="Times New Roman"/>
          <w:color w:val="auto"/>
          <w:kern w:val="0"/>
          <w:sz w:val="24"/>
          <w:szCs w:val="24"/>
        </w:rPr>
        <w:t>1</w:t>
      </w:r>
      <w:r>
        <w:rPr>
          <w:rFonts w:hint="eastAsia" w:ascii="Times New Roman" w:hAnsi="Times New Roman" w:eastAsia="宋体" w:cs="Times New Roman"/>
          <w:color w:val="auto"/>
          <w:kern w:val="0"/>
          <w:sz w:val="24"/>
          <w:szCs w:val="24"/>
        </w:rPr>
        <w:t>门课程计算。</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第十三条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学生可以根据学院有关规定，申请辅修其他专业或者选修其他专业课程。</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第十四条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学生严重违反考核纪律或者作弊的，该课程考核成绩记为无效，并由学院视其违纪或者作弊情节，给予批评教育和相应的纪律处分。给予警告、严重警告、记过及留校察看处分的，经教育表现较好，在毕业前对该课程可以给予补考或者重修机会。学生不能按时参加教育教学计划规定的活动，应当事先请假并获得批准。未经批准而缺席者，根据学院有关规定给予批评教育，情节严重的给予纪律处分。</w:t>
      </w:r>
    </w:p>
    <w:p>
      <w:pPr>
        <w:autoSpaceDE w:val="0"/>
        <w:autoSpaceDN w:val="0"/>
        <w:adjustRightInd w:val="0"/>
        <w:snapToGrid w:val="0"/>
        <w:spacing w:line="360" w:lineRule="auto"/>
        <w:ind w:firstLine="482" w:firstLineChars="200"/>
        <w:jc w:val="center"/>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第四章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转专业与转学</w:t>
      </w:r>
    </w:p>
    <w:p>
      <w:pPr>
        <w:autoSpaceDE w:val="0"/>
        <w:autoSpaceDN w:val="0"/>
        <w:adjustRightInd w:val="0"/>
        <w:snapToGrid w:val="0"/>
        <w:spacing w:line="360" w:lineRule="auto"/>
        <w:ind w:firstLine="480" w:firstLineChars="200"/>
        <w:jc w:val="center"/>
        <w:rPr>
          <w:rFonts w:ascii="Times New Roman" w:hAnsi="Times New Roman" w:eastAsia="宋体" w:cs="Times New Roman"/>
          <w:color w:val="auto"/>
          <w:kern w:val="0"/>
          <w:sz w:val="24"/>
          <w:szCs w:val="24"/>
        </w:rPr>
      </w:pP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第十五条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学生入学后一般应在所录取专业完成学业，如有下列情形之一者，申请转专业：</w:t>
      </w:r>
    </w:p>
    <w:p>
      <w:pPr>
        <w:spacing w:line="360" w:lineRule="auto"/>
        <w:ind w:firstLine="480" w:firstLineChars="200"/>
        <w:rPr>
          <w:rFonts w:ascii="Calibri" w:hAnsi="Calibri" w:eastAsia="宋体" w:cs="Times New Roman"/>
          <w:color w:val="auto"/>
          <w:sz w:val="24"/>
          <w:szCs w:val="24"/>
        </w:rPr>
      </w:pPr>
      <w:r>
        <w:rPr>
          <w:rFonts w:ascii="Calibri" w:hAnsi="Calibri" w:eastAsia="宋体" w:cs="Times New Roman"/>
          <w:color w:val="auto"/>
          <w:sz w:val="24"/>
          <w:szCs w:val="24"/>
        </w:rPr>
        <w:t>1.</w:t>
      </w:r>
      <w:r>
        <w:rPr>
          <w:rFonts w:ascii="Calibri" w:hAnsi="Calibri" w:eastAsia="宋体" w:cs="Times New Roman"/>
          <w:color w:val="auto"/>
          <w:sz w:val="24"/>
          <w:szCs w:val="24"/>
        </w:rPr>
        <w:tab/>
      </w:r>
      <w:r>
        <w:rPr>
          <w:rFonts w:hint="eastAsia" w:ascii="Calibri" w:hAnsi="Calibri" w:eastAsia="宋体" w:cs="Times New Roman"/>
          <w:color w:val="auto"/>
          <w:sz w:val="24"/>
          <w:szCs w:val="24"/>
        </w:rPr>
        <w:t>学生成绩：第一学期期末考试全部考查科目合格，全部考试科目合格并总成绩在本专业排前</w:t>
      </w:r>
      <w:r>
        <w:rPr>
          <w:rFonts w:ascii="Calibri" w:hAnsi="Calibri" w:eastAsia="宋体" w:cs="Times New Roman"/>
          <w:color w:val="auto"/>
          <w:sz w:val="24"/>
          <w:szCs w:val="24"/>
        </w:rPr>
        <w:t xml:space="preserve"> 30%</w:t>
      </w:r>
      <w:r>
        <w:rPr>
          <w:rFonts w:hint="eastAsia" w:ascii="Calibri" w:hAnsi="Calibri" w:eastAsia="宋体" w:cs="Times New Roman"/>
          <w:color w:val="auto"/>
          <w:sz w:val="24"/>
          <w:szCs w:val="24"/>
        </w:rPr>
        <w:t>（含</w:t>
      </w:r>
      <w:r>
        <w:rPr>
          <w:rFonts w:ascii="Calibri" w:hAnsi="Calibri" w:eastAsia="宋体" w:cs="Times New Roman"/>
          <w:color w:val="auto"/>
          <w:sz w:val="24"/>
          <w:szCs w:val="24"/>
        </w:rPr>
        <w:t xml:space="preserve"> 30%</w:t>
      </w:r>
      <w:r>
        <w:rPr>
          <w:rFonts w:hint="eastAsia" w:ascii="Calibri" w:hAnsi="Calibri" w:eastAsia="宋体" w:cs="Times New Roman"/>
          <w:color w:val="auto"/>
          <w:sz w:val="24"/>
          <w:szCs w:val="24"/>
        </w:rPr>
        <w:t>）。</w:t>
      </w:r>
    </w:p>
    <w:p>
      <w:pPr>
        <w:spacing w:line="360" w:lineRule="auto"/>
        <w:ind w:firstLine="480" w:firstLineChars="200"/>
        <w:rPr>
          <w:rFonts w:ascii="Calibri" w:hAnsi="Calibri" w:eastAsia="宋体" w:cs="Times New Roman"/>
          <w:color w:val="auto"/>
          <w:sz w:val="24"/>
          <w:szCs w:val="24"/>
        </w:rPr>
      </w:pPr>
      <w:r>
        <w:rPr>
          <w:rFonts w:ascii="Calibri" w:hAnsi="Calibri" w:eastAsia="宋体" w:cs="Times New Roman"/>
          <w:color w:val="auto"/>
          <w:sz w:val="24"/>
          <w:szCs w:val="24"/>
        </w:rPr>
        <w:t>2.</w:t>
      </w:r>
      <w:r>
        <w:rPr>
          <w:rFonts w:hint="eastAsia" w:ascii="Calibri" w:hAnsi="Calibri" w:eastAsia="宋体" w:cs="Times New Roman"/>
          <w:color w:val="auto"/>
          <w:sz w:val="24"/>
          <w:szCs w:val="24"/>
        </w:rPr>
        <w:t>学生经严格考核确有专长，转专业更能发挥其专长者（</w:t>
      </w:r>
      <w:r>
        <w:rPr>
          <w:rFonts w:hint="eastAsia" w:ascii="宋体" w:hAnsi="宋体" w:eastAsia="宋体" w:cs="仿宋_GB2312"/>
          <w:color w:val="auto"/>
          <w:sz w:val="24"/>
          <w:szCs w:val="24"/>
        </w:rPr>
        <w:t>应提交其专长的相关证明材料，如相关专业技能竞赛参赛获奖证书等，</w:t>
      </w:r>
      <w:r>
        <w:rPr>
          <w:rFonts w:hint="eastAsia" w:ascii="宋体" w:hAnsi="宋体" w:eastAsia="宋体" w:cs="Times New Roman"/>
          <w:color w:val="auto"/>
          <w:sz w:val="24"/>
          <w:szCs w:val="24"/>
        </w:rPr>
        <w:t>由</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提供考核方案并报批</w:t>
      </w:r>
      <w:r>
        <w:rPr>
          <w:rFonts w:hint="eastAsia" w:ascii="Calibri" w:hAnsi="Calibri" w:eastAsia="宋体" w:cs="Times New Roman"/>
          <w:color w:val="auto"/>
          <w:sz w:val="24"/>
          <w:szCs w:val="24"/>
        </w:rPr>
        <w:t>）；</w:t>
      </w:r>
    </w:p>
    <w:p>
      <w:pPr>
        <w:spacing w:line="360" w:lineRule="auto"/>
        <w:ind w:firstLine="480" w:firstLineChars="200"/>
        <w:rPr>
          <w:rFonts w:ascii="Calibri" w:hAnsi="Calibri" w:eastAsia="宋体" w:cs="Times New Roman"/>
          <w:color w:val="auto"/>
          <w:sz w:val="24"/>
          <w:szCs w:val="24"/>
        </w:rPr>
      </w:pPr>
      <w:r>
        <w:rPr>
          <w:rFonts w:ascii="Calibri" w:hAnsi="Calibri" w:eastAsia="宋体" w:cs="Times New Roman"/>
          <w:color w:val="auto"/>
          <w:sz w:val="24"/>
          <w:szCs w:val="24"/>
        </w:rPr>
        <w:t>3.</w:t>
      </w:r>
      <w:r>
        <w:rPr>
          <w:rFonts w:ascii="Calibri" w:hAnsi="Calibri" w:eastAsia="宋体" w:cs="Times New Roman"/>
          <w:color w:val="auto"/>
          <w:sz w:val="24"/>
          <w:szCs w:val="24"/>
        </w:rPr>
        <w:tab/>
      </w:r>
      <w:r>
        <w:rPr>
          <w:rFonts w:hint="eastAsia" w:ascii="Calibri" w:hAnsi="Calibri" w:eastAsia="宋体" w:cs="Times New Roman"/>
          <w:color w:val="auto"/>
          <w:sz w:val="24"/>
          <w:szCs w:val="24"/>
        </w:rPr>
        <w:t>学生入学后发现有某种疾病或生理缺陷，经学院指定二级甲等以上医院诊断证明不能在原专业学习，但尚能在本院其它专业学习者；</w:t>
      </w:r>
    </w:p>
    <w:p>
      <w:pPr>
        <w:spacing w:line="360" w:lineRule="auto"/>
        <w:ind w:firstLine="484" w:firstLineChars="202"/>
        <w:rPr>
          <w:rFonts w:ascii="Calibri" w:hAnsi="Calibri" w:eastAsia="宋体" w:cs="Times New Roman"/>
          <w:color w:val="auto"/>
          <w:sz w:val="24"/>
          <w:szCs w:val="24"/>
        </w:rPr>
      </w:pPr>
      <w:r>
        <w:rPr>
          <w:rFonts w:ascii="Calibri" w:hAnsi="Calibri" w:eastAsia="宋体" w:cs="Times New Roman"/>
          <w:color w:val="auto"/>
          <w:sz w:val="24"/>
          <w:szCs w:val="24"/>
        </w:rPr>
        <w:t>4.</w:t>
      </w:r>
      <w:r>
        <w:rPr>
          <w:rFonts w:ascii="Calibri" w:hAnsi="Calibri" w:eastAsia="宋体" w:cs="Times New Roman"/>
          <w:color w:val="auto"/>
          <w:sz w:val="24"/>
          <w:szCs w:val="24"/>
        </w:rPr>
        <w:tab/>
      </w:r>
      <w:r>
        <w:rPr>
          <w:rFonts w:hint="eastAsia" w:ascii="Calibri" w:hAnsi="Calibri" w:eastAsia="宋体" w:cs="Times New Roman"/>
          <w:color w:val="auto"/>
          <w:sz w:val="24"/>
          <w:szCs w:val="24"/>
        </w:rPr>
        <w:t>学生就读原专业确有某种特殊困难，经审核确认无法继续原专业学习者（由领导小组审核，领导小组组长签字）。</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第十六条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有下列情形之一者，不予考虑转专业：</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（一）新生入学未满一学期或毕业前一年的。</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（二）由外校转学进入</w:t>
      </w:r>
      <w:r>
        <w:rPr>
          <w:rFonts w:hint="eastAsia" w:ascii="宋体" w:hAnsi="宋体" w:eastAsia="宋体" w:cs="Times New Roman"/>
          <w:color w:val="auto"/>
          <w:sz w:val="24"/>
          <w:szCs w:val="24"/>
        </w:rPr>
        <w:t>我校</w:t>
      </w:r>
      <w:r>
        <w:rPr>
          <w:rFonts w:hint="eastAsia" w:ascii="Times New Roman" w:hAnsi="Times New Roman" w:eastAsia="宋体" w:cs="Times New Roman"/>
          <w:color w:val="auto"/>
          <w:kern w:val="0"/>
          <w:sz w:val="24"/>
          <w:szCs w:val="24"/>
        </w:rPr>
        <w:t>就读者。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（三）学生处于休学、保留学籍期间，或已转过一次专业者。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（四）在校期间有违纪等行为，受处分者。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（五）申请拟转入的专业没有学位者。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（六）招生时确定为定向、委托培养者。</w:t>
      </w:r>
    </w:p>
    <w:p>
      <w:pPr>
        <w:spacing w:line="360" w:lineRule="auto"/>
        <w:ind w:firstLine="484" w:firstLineChars="202"/>
        <w:rPr>
          <w:rFonts w:ascii="宋体" w:hAnsi="Calibri" w:eastAsia="宋体" w:cs="Times New Roman"/>
          <w:color w:val="auto"/>
          <w:sz w:val="24"/>
          <w:szCs w:val="24"/>
        </w:rPr>
      </w:pPr>
      <w:r>
        <w:rPr>
          <w:rFonts w:hint="eastAsia" w:ascii="宋体" w:hAnsi="宋体" w:eastAsia="宋体" w:cs="Times New Roman"/>
          <w:color w:val="auto"/>
          <w:sz w:val="24"/>
          <w:szCs w:val="24"/>
        </w:rPr>
        <w:t>（七）</w:t>
      </w:r>
      <w:r>
        <w:rPr>
          <w:rFonts w:hint="eastAsia" w:ascii="Calibri" w:hAnsi="Calibri" w:eastAsia="宋体" w:cs="Times New Roman"/>
          <w:color w:val="auto"/>
          <w:sz w:val="24"/>
          <w:szCs w:val="24"/>
        </w:rPr>
        <w:t>“</w:t>
      </w:r>
      <w:r>
        <w:rPr>
          <w:rFonts w:ascii="Calibri" w:hAnsi="Calibri" w:eastAsia="宋体" w:cs="Times New Roman"/>
          <w:color w:val="auto"/>
          <w:sz w:val="24"/>
          <w:szCs w:val="24"/>
        </w:rPr>
        <w:t>3+</w:t>
      </w:r>
      <w:r>
        <w:rPr>
          <w:rFonts w:hint="eastAsia" w:ascii="Calibri" w:hAnsi="Calibri" w:eastAsia="宋体" w:cs="Times New Roman"/>
          <w:color w:val="auto"/>
          <w:sz w:val="24"/>
          <w:szCs w:val="24"/>
        </w:rPr>
        <w:t>证书”考生所持的“证书”不符合转入专业的证书要求的（“证书”以当年广东省招生办公室编著的《广东省普通高等学校招生专业目录</w:t>
      </w:r>
      <w:r>
        <w:rPr>
          <w:rFonts w:ascii="Calibri" w:hAnsi="Calibri" w:eastAsia="宋体" w:cs="Times New Roman"/>
          <w:color w:val="auto"/>
          <w:sz w:val="24"/>
          <w:szCs w:val="24"/>
        </w:rPr>
        <w:t>—[3+</w:t>
      </w:r>
      <w:r>
        <w:rPr>
          <w:rFonts w:hint="eastAsia" w:ascii="Calibri" w:hAnsi="Calibri" w:eastAsia="宋体" w:cs="Times New Roman"/>
          <w:color w:val="auto"/>
          <w:sz w:val="24"/>
          <w:szCs w:val="24"/>
        </w:rPr>
        <w:t>专业技能课程证书</w:t>
      </w:r>
      <w:r>
        <w:rPr>
          <w:rFonts w:ascii="Calibri" w:hAnsi="Calibri" w:eastAsia="宋体" w:cs="Times New Roman"/>
          <w:color w:val="auto"/>
          <w:sz w:val="24"/>
          <w:szCs w:val="24"/>
        </w:rPr>
        <w:t>]</w:t>
      </w:r>
      <w:r>
        <w:rPr>
          <w:rFonts w:hint="eastAsia" w:ascii="Calibri" w:hAnsi="Calibri" w:eastAsia="宋体" w:cs="Times New Roman"/>
          <w:color w:val="auto"/>
          <w:sz w:val="24"/>
          <w:szCs w:val="24"/>
        </w:rPr>
        <w:t>版》为准）；</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（八）无正当理由者及其他不符合学院转专业规定者。</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第十七条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转专业的具体实施办法详见《广东江门中医药职业学院学生转专业实施办法（试行）》。</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第十八条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学生因患病或者确有特殊困难，无法继续在本院学习的，可以申请转学。</w:t>
      </w:r>
    </w:p>
    <w:p>
      <w:pPr>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第十九条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学生有下列情形之一，不得转学：</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（一）入学未满一学期或者毕业前一年的。</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（二）高考录取分数低于拟转入高校相关专业在生源地相应年份的高考录取分数。</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（三）低学历层次转为高学历层次。</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（四）定向招生录取的。</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（五）跨学科专业门类。</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（六）予以退学或开除学籍的。</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（七）其他无正当理由的。</w:t>
      </w:r>
    </w:p>
    <w:p>
      <w:pPr>
        <w:tabs>
          <w:tab w:val="left" w:pos="360"/>
        </w:tabs>
        <w:autoSpaceDE w:val="0"/>
        <w:autoSpaceDN w:val="0"/>
        <w:adjustRightInd w:val="0"/>
        <w:snapToGrid w:val="0"/>
        <w:spacing w:line="360" w:lineRule="auto"/>
        <w:ind w:firstLine="482"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b/>
          <w:bCs/>
          <w:color w:val="auto"/>
          <w:kern w:val="0"/>
          <w:sz w:val="24"/>
          <w:szCs w:val="24"/>
        </w:rPr>
        <w:t>第二十条</w:t>
      </w:r>
      <w:r>
        <w:rPr>
          <w:rFonts w:ascii="Times New Roman" w:hAnsi="Times New Roman" w:eastAsia="宋体" w:cs="Times New Roman"/>
          <w:b/>
          <w:bCs/>
          <w:color w:val="auto"/>
          <w:kern w:val="0"/>
          <w:sz w:val="24"/>
          <w:szCs w:val="24"/>
        </w:rPr>
        <w:t xml:space="preserve">  </w:t>
      </w:r>
      <w:r>
        <w:rPr>
          <w:rFonts w:hint="eastAsia" w:ascii="Times New Roman" w:hAnsi="Times New Roman" w:eastAsia="宋体" w:cs="Times New Roman"/>
          <w:color w:val="auto"/>
          <w:kern w:val="0"/>
          <w:sz w:val="24"/>
          <w:szCs w:val="24"/>
        </w:rPr>
        <w:t>转学的具体办法详见《广东江门中医药职业学院转学管理办法（试行）》。</w:t>
      </w:r>
    </w:p>
    <w:p>
      <w:pPr>
        <w:tabs>
          <w:tab w:val="left" w:pos="360"/>
        </w:tabs>
        <w:autoSpaceDE w:val="0"/>
        <w:autoSpaceDN w:val="0"/>
        <w:adjustRightInd w:val="0"/>
        <w:snapToGrid w:val="0"/>
        <w:spacing w:line="360" w:lineRule="auto"/>
        <w:ind w:firstLine="482" w:firstLineChars="200"/>
        <w:jc w:val="center"/>
        <w:rPr>
          <w:rFonts w:ascii="Times New Roman" w:hAnsi="Times New Roman" w:eastAsia="宋体" w:cs="Times New Roman"/>
          <w:b/>
          <w:bCs/>
          <w:color w:val="auto"/>
          <w:sz w:val="24"/>
          <w:szCs w:val="24"/>
        </w:rPr>
      </w:pPr>
    </w:p>
    <w:p>
      <w:pPr>
        <w:tabs>
          <w:tab w:val="left" w:pos="360"/>
        </w:tabs>
        <w:autoSpaceDE w:val="0"/>
        <w:autoSpaceDN w:val="0"/>
        <w:adjustRightInd w:val="0"/>
        <w:snapToGrid w:val="0"/>
        <w:spacing w:line="360" w:lineRule="auto"/>
        <w:ind w:firstLine="482" w:firstLineChars="200"/>
        <w:jc w:val="center"/>
        <w:rPr>
          <w:rFonts w:ascii="Times New Roman" w:hAnsi="Times New Roman" w:eastAsia="宋体" w:cs="Times New Roman"/>
          <w:b/>
          <w:bCs/>
          <w:color w:val="auto"/>
          <w:sz w:val="24"/>
          <w:szCs w:val="24"/>
        </w:rPr>
      </w:pPr>
    </w:p>
    <w:p>
      <w:pPr>
        <w:tabs>
          <w:tab w:val="left" w:pos="360"/>
        </w:tabs>
        <w:autoSpaceDE w:val="0"/>
        <w:autoSpaceDN w:val="0"/>
        <w:adjustRightInd w:val="0"/>
        <w:snapToGrid w:val="0"/>
        <w:spacing w:line="360" w:lineRule="auto"/>
        <w:ind w:firstLine="482" w:firstLineChars="200"/>
        <w:jc w:val="center"/>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第五章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休学与复学</w:t>
      </w:r>
    </w:p>
    <w:p>
      <w:pPr>
        <w:tabs>
          <w:tab w:val="left" w:pos="360"/>
        </w:tabs>
        <w:autoSpaceDE w:val="0"/>
        <w:autoSpaceDN w:val="0"/>
        <w:adjustRightInd w:val="0"/>
        <w:snapToGrid w:val="0"/>
        <w:spacing w:line="360" w:lineRule="auto"/>
        <w:ind w:firstLine="480" w:firstLineChars="200"/>
        <w:jc w:val="center"/>
        <w:rPr>
          <w:rFonts w:ascii="Times New Roman" w:hAnsi="Times New Roman" w:eastAsia="宋体" w:cs="Times New Roman"/>
          <w:color w:val="auto"/>
          <w:kern w:val="0"/>
          <w:sz w:val="24"/>
          <w:szCs w:val="24"/>
        </w:rPr>
      </w:pPr>
    </w:p>
    <w:p>
      <w:pPr>
        <w:snapToGrid w:val="0"/>
        <w:spacing w:line="360" w:lineRule="auto"/>
        <w:ind w:firstLine="482" w:firstLineChars="200"/>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第二十一条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学院学制为三年，学生可以分阶段完成学业，但在校学习的最长学习年限不得超过五年，学生申请休学或学院认为应当休学的，经学院批准，可以休学。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color w:val="auto"/>
          <w:sz w:val="24"/>
          <w:szCs w:val="24"/>
        </w:rPr>
        <w:t>第二十二条</w:t>
      </w:r>
      <w:r>
        <w:rPr>
          <w:rFonts w:ascii="Times New Roman" w:hAnsi="Times New Roman" w:eastAsia="宋体" w:cs="Times New Roman"/>
          <w:b/>
          <w:color w:val="auto"/>
          <w:sz w:val="24"/>
          <w:szCs w:val="24"/>
        </w:rPr>
        <w:t xml:space="preserve"> </w:t>
      </w:r>
      <w:r>
        <w:rPr>
          <w:rFonts w:hint="eastAsia" w:ascii="Times New Roman" w:hAnsi="Times New Roman" w:eastAsia="宋体" w:cs="Times New Roman"/>
          <w:color w:val="auto"/>
          <w:sz w:val="24"/>
          <w:szCs w:val="24"/>
        </w:rPr>
        <w:t>学生有下列情形之一者，应办理休学手续：</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（一）因伤、病经</w:t>
      </w:r>
      <w:r>
        <w:rPr>
          <w:rFonts w:hint="eastAsia" w:ascii="Times New Roman" w:hAnsi="Times New Roman" w:eastAsia="宋体" w:cs="Times New Roman"/>
          <w:color w:val="auto"/>
          <w:kern w:val="0"/>
          <w:sz w:val="24"/>
          <w:szCs w:val="24"/>
        </w:rPr>
        <w:t>二级甲等以上</w:t>
      </w:r>
      <w:r>
        <w:rPr>
          <w:rFonts w:hint="eastAsia" w:ascii="Times New Roman" w:hAnsi="Times New Roman" w:eastAsia="宋体" w:cs="Times New Roman"/>
          <w:color w:val="auto"/>
          <w:sz w:val="24"/>
          <w:szCs w:val="24"/>
        </w:rPr>
        <w:t>医院诊断，需停课治疗、休养</w:t>
      </w:r>
      <w:r>
        <w:rPr>
          <w:rFonts w:hint="eastAsia" w:ascii="Times New Roman" w:hAnsi="Times New Roman" w:eastAsia="宋体" w:cs="Times New Roman"/>
          <w:color w:val="auto"/>
          <w:kern w:val="0"/>
          <w:sz w:val="24"/>
          <w:szCs w:val="24"/>
        </w:rPr>
        <w:t>时间超过一学期总学时三分之一以上</w:t>
      </w:r>
      <w:r>
        <w:rPr>
          <w:rFonts w:hint="eastAsia" w:ascii="Times New Roman" w:hAnsi="Times New Roman" w:eastAsia="宋体" w:cs="Times New Roman"/>
          <w:color w:val="auto"/>
          <w:sz w:val="24"/>
          <w:szCs w:val="24"/>
        </w:rPr>
        <w:t>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（二）根据考勤记录，一学期请假、缺勤累计超过该学期总学时三分之一者。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（三）因特殊原因，</w:t>
      </w:r>
      <w:r>
        <w:rPr>
          <w:rFonts w:hint="eastAsia" w:ascii="Times New Roman" w:hAnsi="Times New Roman" w:eastAsia="宋体" w:cs="Times New Roman"/>
          <w:color w:val="auto"/>
          <w:kern w:val="0"/>
          <w:sz w:val="24"/>
          <w:szCs w:val="24"/>
        </w:rPr>
        <w:t>经本人提出申请或学院认为可以休学者</w:t>
      </w:r>
      <w:r>
        <w:rPr>
          <w:rFonts w:hint="eastAsia" w:ascii="Times New Roman" w:hAnsi="Times New Roman" w:eastAsia="宋体" w:cs="Times New Roman"/>
          <w:color w:val="auto"/>
          <w:sz w:val="24"/>
          <w:szCs w:val="24"/>
        </w:rPr>
        <w:t>。</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（四）应征入伍义务服兵役者。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（五）</w:t>
      </w:r>
      <w:r>
        <w:rPr>
          <w:rFonts w:hint="eastAsia" w:ascii="Times New Roman" w:hAnsi="Times New Roman" w:eastAsia="宋体" w:cs="Times New Roman"/>
          <w:color w:val="auto"/>
          <w:kern w:val="0"/>
          <w:sz w:val="24"/>
          <w:szCs w:val="24"/>
        </w:rPr>
        <w:t>创业的学生，本人提出申请或学院认为可以休学者，最长学习年限为</w:t>
      </w:r>
      <w:r>
        <w:rPr>
          <w:rFonts w:ascii="Times New Roman" w:hAnsi="Times New Roman" w:eastAsia="宋体" w:cs="Times New Roman"/>
          <w:color w:val="auto"/>
          <w:kern w:val="0"/>
          <w:sz w:val="24"/>
          <w:szCs w:val="24"/>
        </w:rPr>
        <w:t>5</w:t>
      </w:r>
      <w:r>
        <w:rPr>
          <w:rFonts w:hint="eastAsia" w:ascii="Times New Roman" w:hAnsi="Times New Roman" w:eastAsia="宋体" w:cs="Times New Roman"/>
          <w:color w:val="auto"/>
          <w:kern w:val="0"/>
          <w:sz w:val="24"/>
          <w:szCs w:val="24"/>
        </w:rPr>
        <w:t>年。</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第二十三条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学生休学期限一般为一年，因特殊情况，经学院批准可连续休学，累计休学年限不得超过两年。</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第二十四条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新生和在校生应征参加中国人民解放军</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含中国人民武装警察部队</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，学院保留其入学资格或者学籍至退役后</w:t>
      </w:r>
      <w:r>
        <w:rPr>
          <w:rFonts w:ascii="Times New Roman" w:hAnsi="Times New Roman" w:eastAsia="宋体" w:cs="Times New Roman"/>
          <w:color w:val="auto"/>
          <w:sz w:val="24"/>
          <w:szCs w:val="24"/>
        </w:rPr>
        <w:t>2</w:t>
      </w:r>
      <w:r>
        <w:rPr>
          <w:rFonts w:hint="eastAsia" w:ascii="Times New Roman" w:hAnsi="Times New Roman" w:eastAsia="宋体" w:cs="Times New Roman"/>
          <w:color w:val="auto"/>
          <w:sz w:val="24"/>
          <w:szCs w:val="24"/>
        </w:rPr>
        <w:t>年。</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第二十五条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休学学生办理好相关手续后方可离校。学生休学期间，保留学籍，但不享受在校生待遇。因病休学学生的医疗费用按国家及当地有关规定处理。</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color w:val="auto"/>
          <w:sz w:val="24"/>
          <w:szCs w:val="24"/>
        </w:rPr>
        <w:t>第二十六条</w:t>
      </w:r>
      <w:r>
        <w:rPr>
          <w:rFonts w:ascii="Times New Roman" w:hAnsi="Times New Roman" w:eastAsia="宋体" w:cs="Times New Roman"/>
          <w:b/>
          <w:color w:val="auto"/>
          <w:sz w:val="24"/>
          <w:szCs w:val="24"/>
        </w:rPr>
        <w:t xml:space="preserve"> </w:t>
      </w:r>
      <w:r>
        <w:rPr>
          <w:rFonts w:hint="eastAsia" w:ascii="Times New Roman" w:hAnsi="Times New Roman" w:eastAsia="宋体" w:cs="Times New Roman"/>
          <w:color w:val="auto"/>
          <w:sz w:val="24"/>
          <w:szCs w:val="24"/>
        </w:rPr>
        <w:t>学生休学期满，在学院规定的期限内提出复学申请，经学院复查合格，方可复学。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color w:val="auto"/>
          <w:sz w:val="24"/>
          <w:szCs w:val="24"/>
        </w:rPr>
        <w:t>第二十七条</w:t>
      </w:r>
      <w:r>
        <w:rPr>
          <w:rFonts w:ascii="Times New Roman" w:hAnsi="Times New Roman" w:eastAsia="宋体" w:cs="Times New Roman"/>
          <w:b/>
          <w:color w:val="auto"/>
          <w:sz w:val="24"/>
          <w:szCs w:val="24"/>
        </w:rPr>
        <w:t xml:space="preserve"> </w:t>
      </w:r>
      <w:r>
        <w:rPr>
          <w:rFonts w:hint="eastAsia" w:ascii="Times New Roman" w:hAnsi="Times New Roman" w:eastAsia="宋体" w:cs="Times New Roman"/>
          <w:color w:val="auto"/>
          <w:sz w:val="24"/>
          <w:szCs w:val="24"/>
        </w:rPr>
        <w:t>休学与复学的具体办法详见《广东江门中医药职业学院休学与复学管理办法（试行）》。</w:t>
      </w:r>
    </w:p>
    <w:p>
      <w:pPr>
        <w:snapToGrid w:val="0"/>
        <w:spacing w:line="360" w:lineRule="auto"/>
        <w:ind w:firstLine="480" w:firstLineChars="200"/>
        <w:jc w:val="center"/>
        <w:rPr>
          <w:rFonts w:ascii="Times New Roman" w:hAnsi="Times New Roman" w:eastAsia="宋体" w:cs="Times New Roman"/>
          <w:b/>
          <w:bCs/>
          <w:color w:val="auto"/>
          <w:sz w:val="24"/>
          <w:szCs w:val="24"/>
        </w:rPr>
      </w:pPr>
      <w:r>
        <w:rPr>
          <w:rFonts w:ascii="Times New Roman" w:hAnsi="Times New Roman" w:eastAsia="宋体" w:cs="Times New Roman"/>
          <w:color w:val="auto"/>
          <w:sz w:val="24"/>
          <w:szCs w:val="24"/>
        </w:rPr>
        <w:t xml:space="preserve"> </w:t>
      </w:r>
      <w:r>
        <w:rPr>
          <w:rFonts w:hint="eastAsia" w:ascii="Times New Roman" w:hAnsi="Times New Roman" w:eastAsia="宋体" w:cs="Times New Roman"/>
          <w:b/>
          <w:bCs/>
          <w:color w:val="auto"/>
          <w:sz w:val="24"/>
          <w:szCs w:val="24"/>
        </w:rPr>
        <w:t>第六章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退学</w:t>
      </w:r>
    </w:p>
    <w:p>
      <w:pPr>
        <w:snapToGrid w:val="0"/>
        <w:spacing w:line="360" w:lineRule="auto"/>
        <w:ind w:firstLine="480" w:firstLineChars="200"/>
        <w:jc w:val="center"/>
        <w:rPr>
          <w:rFonts w:ascii="Times New Roman" w:hAnsi="Times New Roman" w:eastAsia="宋体" w:cs="Times New Roman"/>
          <w:color w:val="auto"/>
          <w:sz w:val="24"/>
          <w:szCs w:val="24"/>
        </w:rPr>
      </w:pP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第二十八条</w:t>
      </w:r>
      <w:r>
        <w:rPr>
          <w:rFonts w:hint="eastAsia" w:ascii="Times New Roman" w:hAnsi="Times New Roman" w:eastAsia="宋体" w:cs="Times New Roman"/>
          <w:color w:val="auto"/>
          <w:sz w:val="24"/>
          <w:szCs w:val="24"/>
        </w:rPr>
        <w:t>学生有下列情况之一者，学院可予以退学处理：</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（一）学生本人申请退学，经劝说无效者。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w:t>
      </w:r>
      <w:r>
        <w:rPr>
          <w:rFonts w:hint="eastAsia" w:ascii="Times New Roman" w:hAnsi="Times New Roman" w:eastAsia="宋体" w:cs="Times New Roman"/>
          <w:color w:val="auto"/>
          <w:kern w:val="0"/>
          <w:sz w:val="24"/>
          <w:szCs w:val="24"/>
        </w:rPr>
        <w:t>在学院规定的在校最长年限内（含休学）未完成学业者。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（三）休学、保留学籍期满，在学院规定期限内未提出复学申请或申请复学经复查不合格者。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（四）因病休学期满经复查不合格者。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（五）一学期无故旷课超过总学时三分之一。</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（六）经学院指定的二级甲等以上医院确诊，患有疾病或者意外伤残不能继续在校学习者。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（七）未经请假连续两周不参加学院规定的教学活动者。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kern w:val="0"/>
          <w:sz w:val="24"/>
          <w:szCs w:val="24"/>
        </w:rPr>
        <w:t>（八）超过学院规定期限未注册而又未履行暂缓注册手续的。</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（九）触犯刑法被处劳动教养或判刑者。</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（十）因其它特殊情况，学院认为必须退学者。</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第二十九条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学生本人申请退学的，由学生本人提出，家长或监护人同意，经学院审核同意，办理退学手续。其他的退学处理由所在</w:t>
      </w:r>
      <w:r>
        <w:rPr>
          <w:rFonts w:hint="eastAsia" w:ascii="Times New Roman" w:hAnsi="Times New Roman" w:eastAsia="宋体" w:cs="Times New Roman"/>
          <w:color w:val="auto"/>
          <w:sz w:val="24"/>
          <w:szCs w:val="24"/>
          <w:lang w:eastAsia="zh-CN"/>
        </w:rPr>
        <w:t>二级学院</w:t>
      </w:r>
      <w:r>
        <w:rPr>
          <w:rFonts w:hint="eastAsia" w:ascii="Times New Roman" w:hAnsi="Times New Roman" w:eastAsia="宋体" w:cs="Times New Roman"/>
          <w:color w:val="auto"/>
          <w:sz w:val="24"/>
          <w:szCs w:val="24"/>
        </w:rPr>
        <w:t>提出，经</w:t>
      </w:r>
      <w:r>
        <w:rPr>
          <w:rFonts w:hint="eastAsia" w:ascii="Times New Roman" w:hAnsi="Times New Roman" w:eastAsia="宋体" w:cs="Times New Roman"/>
          <w:color w:val="auto"/>
          <w:sz w:val="24"/>
          <w:szCs w:val="24"/>
          <w:lang w:eastAsia="zh-CN"/>
        </w:rPr>
        <w:t>教务部</w:t>
      </w:r>
      <w:r>
        <w:rPr>
          <w:rFonts w:hint="eastAsia" w:ascii="Times New Roman" w:hAnsi="Times New Roman" w:eastAsia="宋体" w:cs="Times New Roman"/>
          <w:color w:val="auto"/>
          <w:sz w:val="24"/>
          <w:szCs w:val="24"/>
        </w:rPr>
        <w:t>会同有关部门审核，报院长办公会议研究决定。</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对退学的学生由学院出具退学决定书并由所在</w:t>
      </w:r>
      <w:r>
        <w:rPr>
          <w:rFonts w:hint="eastAsia" w:ascii="Times New Roman" w:hAnsi="Times New Roman" w:eastAsia="宋体" w:cs="Times New Roman"/>
          <w:color w:val="auto"/>
          <w:sz w:val="24"/>
          <w:szCs w:val="24"/>
          <w:lang w:eastAsia="zh-CN"/>
        </w:rPr>
        <w:t>二级学院</w:t>
      </w:r>
      <w:r>
        <w:rPr>
          <w:rFonts w:hint="eastAsia" w:ascii="Times New Roman" w:hAnsi="Times New Roman" w:eastAsia="宋体" w:cs="Times New Roman"/>
          <w:color w:val="auto"/>
          <w:sz w:val="24"/>
          <w:szCs w:val="24"/>
        </w:rPr>
        <w:t>负责送交学生本人，按规定办理退学手续离校。</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退学的具体办法详见《广东江门中医药职业学院学生退学管理办法》。</w:t>
      </w:r>
    </w:p>
    <w:p>
      <w:pPr>
        <w:snapToGrid w:val="0"/>
        <w:spacing w:line="360" w:lineRule="auto"/>
        <w:ind w:firstLine="482" w:firstLineChars="200"/>
        <w:jc w:val="center"/>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第七章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毕业、结业与肄业</w:t>
      </w:r>
    </w:p>
    <w:p>
      <w:pPr>
        <w:snapToGrid w:val="0"/>
        <w:spacing w:line="360" w:lineRule="auto"/>
        <w:ind w:firstLine="480" w:firstLineChars="200"/>
        <w:jc w:val="center"/>
        <w:rPr>
          <w:rFonts w:ascii="Times New Roman" w:hAnsi="Times New Roman" w:eastAsia="宋体" w:cs="Times New Roman"/>
          <w:color w:val="auto"/>
          <w:sz w:val="24"/>
          <w:szCs w:val="24"/>
        </w:rPr>
      </w:pP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第三十一条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学生可在学制规定的时间或超过学制延长时间内完成学业。</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第三十二条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kern w:val="0"/>
          <w:sz w:val="24"/>
          <w:szCs w:val="24"/>
        </w:rPr>
        <w:t>具有正式学籍的学生，在学院规定年限内，修完教育教学计划规定的内容，达到毕业标准，德、智、体诸方面考核合格，准予毕业，发给毕业证书。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第三十三条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学生在学</w:t>
      </w:r>
      <w:r>
        <w:rPr>
          <w:rFonts w:hint="eastAsia" w:ascii="Times New Roman" w:hAnsi="Times New Roman" w:eastAsia="宋体" w:cs="Times New Roman"/>
          <w:color w:val="auto"/>
          <w:kern w:val="0"/>
          <w:sz w:val="24"/>
          <w:szCs w:val="24"/>
        </w:rPr>
        <w:t>院</w:t>
      </w:r>
      <w:r>
        <w:rPr>
          <w:rFonts w:hint="eastAsia" w:ascii="Times New Roman" w:hAnsi="Times New Roman" w:eastAsia="宋体" w:cs="Times New Roman"/>
          <w:color w:val="auto"/>
          <w:sz w:val="24"/>
          <w:szCs w:val="24"/>
        </w:rPr>
        <w:t>规定的标准学制年限内，修完教育教学计划规定内容，未达到毕业标准者，可申请延期毕业或按结业处理，按结业处理的学生由学</w:t>
      </w:r>
      <w:r>
        <w:rPr>
          <w:rFonts w:hint="eastAsia" w:ascii="Times New Roman" w:hAnsi="Times New Roman" w:eastAsia="宋体" w:cs="Times New Roman"/>
          <w:color w:val="auto"/>
          <w:kern w:val="0"/>
          <w:sz w:val="24"/>
          <w:szCs w:val="24"/>
        </w:rPr>
        <w:t>院</w:t>
      </w:r>
      <w:r>
        <w:rPr>
          <w:rFonts w:hint="eastAsia" w:ascii="Times New Roman" w:hAnsi="Times New Roman" w:eastAsia="宋体" w:cs="Times New Roman"/>
          <w:color w:val="auto"/>
          <w:sz w:val="24"/>
          <w:szCs w:val="24"/>
        </w:rPr>
        <w:t>发给结业证书。</w:t>
      </w:r>
    </w:p>
    <w:p>
      <w:pPr>
        <w:snapToGrid w:val="0"/>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按结业处理的学生，允许在结业后一年内申请重修不合格课程，达到毕业标准的，准予以结业证</w:t>
      </w:r>
      <w:r>
        <w:rPr>
          <w:rFonts w:hint="eastAsia" w:ascii="Times New Roman" w:hAnsi="Times New Roman" w:eastAsia="宋体" w:cs="Times New Roman"/>
          <w:color w:val="auto"/>
          <w:kern w:val="0"/>
          <w:sz w:val="24"/>
          <w:szCs w:val="24"/>
        </w:rPr>
        <w:t>书换发毕业证书。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第三十四条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毕业时未能达到《大学生体育合格标准》的（身患疾病或有生理缺陷者除外），以结业论，发给结业证书。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color w:val="auto"/>
          <w:sz w:val="24"/>
          <w:szCs w:val="24"/>
        </w:rPr>
        <w:t>第三十五条</w:t>
      </w:r>
      <w:r>
        <w:rPr>
          <w:rFonts w:ascii="Times New Roman" w:hAnsi="Times New Roman" w:eastAsia="宋体" w:cs="Times New Roman"/>
          <w:b/>
          <w:color w:val="auto"/>
          <w:sz w:val="24"/>
          <w:szCs w:val="24"/>
        </w:rPr>
        <w:t xml:space="preserve"> </w:t>
      </w:r>
      <w:r>
        <w:rPr>
          <w:rFonts w:hint="eastAsia" w:ascii="Times New Roman" w:hAnsi="Times New Roman" w:eastAsia="宋体" w:cs="Times New Roman"/>
          <w:color w:val="auto"/>
          <w:sz w:val="24"/>
          <w:szCs w:val="24"/>
        </w:rPr>
        <w:t>受留校察看处分的学生，凡毕业时未终止其留校察看处分的不准毕业，作结业处理，发给结业证书。结业一年后二年内可由本人申请，工作单位提出其工作以来思想、政治、品德、业务等方面的书面鉴定意见，经</w:t>
      </w:r>
      <w:r>
        <w:rPr>
          <w:rFonts w:hint="eastAsia" w:ascii="Times New Roman" w:hAnsi="Times New Roman" w:eastAsia="宋体" w:cs="Times New Roman"/>
          <w:color w:val="auto"/>
          <w:sz w:val="24"/>
          <w:szCs w:val="24"/>
          <w:lang w:eastAsia="zh-CN"/>
        </w:rPr>
        <w:t>教务部</w:t>
      </w:r>
      <w:r>
        <w:rPr>
          <w:rFonts w:hint="eastAsia" w:ascii="Times New Roman" w:hAnsi="Times New Roman" w:eastAsia="宋体" w:cs="Times New Roman"/>
          <w:color w:val="auto"/>
          <w:sz w:val="24"/>
          <w:szCs w:val="24"/>
        </w:rPr>
        <w:t>审查合格者，可换发毕业证书。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第三十六条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获得结业证书的学生，换发毕业证书的毕业日期，按发证日期填写。</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第三十七条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生在规定的学习年限内未能修完教学计划所规定的课程，发给肄业证书。学生可申请不领取肄业证书，延长学习时间继续完成课程学习，需事先经学院同意，修完全部课程，发给结业证书或毕业证书。延长期满，仍未达到毕业或结业要求者，发给肄业证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第三十八条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无学籍的学生不得发给任何形式的学历证书。</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第三十九条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毕业证书遗失不能补发，经本人申请，由学院出具毕业证明；毕业证明与毕业证书具有同等效用。</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第四十条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学院按照高等教育学历证书电子注册管理制度，学生毕（结）业离校时，进行学历证书电子注册（以下简称学历注册）。学历注册信息与学历证书内容保持一致。</w:t>
      </w:r>
    </w:p>
    <w:p>
      <w:pPr>
        <w:snapToGrid w:val="0"/>
        <w:spacing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第四十一条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Cs/>
          <w:color w:val="auto"/>
          <w:sz w:val="24"/>
          <w:szCs w:val="24"/>
        </w:rPr>
        <w:t>根据医学教育特殊性，</w:t>
      </w:r>
      <w:r>
        <w:rPr>
          <w:rFonts w:hint="eastAsia" w:ascii="Times New Roman" w:hAnsi="Times New Roman" w:eastAsia="宋体" w:cs="Times New Roman"/>
          <w:color w:val="auto"/>
          <w:kern w:val="0"/>
          <w:sz w:val="24"/>
          <w:szCs w:val="24"/>
        </w:rPr>
        <w:t>学院规定学生不能提前毕业。</w:t>
      </w:r>
    </w:p>
    <w:p>
      <w:pPr>
        <w:snapToGrid w:val="0"/>
        <w:spacing w:line="360" w:lineRule="auto"/>
        <w:ind w:firstLine="482" w:firstLineChars="200"/>
        <w:jc w:val="center"/>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第八章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学业证书管理</w:t>
      </w:r>
    </w:p>
    <w:p>
      <w:pPr>
        <w:snapToGrid w:val="0"/>
        <w:spacing w:line="360" w:lineRule="auto"/>
        <w:ind w:firstLine="480" w:firstLineChars="200"/>
        <w:jc w:val="center"/>
        <w:rPr>
          <w:rFonts w:ascii="Times New Roman" w:hAnsi="Times New Roman" w:eastAsia="宋体" w:cs="Times New Roman"/>
          <w:color w:val="auto"/>
          <w:sz w:val="24"/>
          <w:szCs w:val="24"/>
        </w:rPr>
      </w:pPr>
    </w:p>
    <w:p>
      <w:pPr>
        <w:snapToGrid w:val="0"/>
        <w:spacing w:line="360" w:lineRule="auto"/>
        <w:ind w:firstLine="482" w:firstLineChars="200"/>
        <w:rPr>
          <w:rFonts w:ascii="Times New Roman" w:hAnsi="Times New Roman" w:eastAsia="宋体" w:cs="Times New Roman"/>
          <w:bCs/>
          <w:color w:val="auto"/>
          <w:sz w:val="24"/>
          <w:szCs w:val="24"/>
        </w:rPr>
      </w:pPr>
      <w:r>
        <w:rPr>
          <w:rFonts w:hint="eastAsia" w:ascii="Times New Roman" w:hAnsi="Times New Roman" w:eastAsia="宋体" w:cs="Times New Roman"/>
          <w:b/>
          <w:bCs/>
          <w:color w:val="auto"/>
          <w:sz w:val="24"/>
          <w:szCs w:val="24"/>
        </w:rPr>
        <w:t>第四十二条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Cs/>
          <w:color w:val="auto"/>
          <w:sz w:val="24"/>
          <w:szCs w:val="24"/>
        </w:rPr>
        <w:t>学院严格按照招生时确定的办学类型和学习形式，以及学生招生录取时填报的个人信息，填写、颁发学历证书及其他学业证书。</w:t>
      </w:r>
    </w:p>
    <w:p>
      <w:pPr>
        <w:snapToGrid w:val="0"/>
        <w:spacing w:line="360" w:lineRule="auto"/>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学生在校期间变更姓名、出生日期等证书需填写的个人信息的，应当有合理、充分的理由，并提供有法定效力的相应证明文件。学院进行审查，需要学生生源地省级教育行政部门及有关部门协助核查的，有关部门应当予以配合。</w:t>
      </w:r>
    </w:p>
    <w:p>
      <w:pPr>
        <w:snapToGrid w:val="0"/>
        <w:spacing w:line="360" w:lineRule="auto"/>
        <w:ind w:firstLine="482" w:firstLineChars="200"/>
        <w:rPr>
          <w:rFonts w:ascii="Times New Roman" w:hAnsi="Times New Roman" w:eastAsia="宋体" w:cs="Times New Roman"/>
          <w:bCs/>
          <w:color w:val="auto"/>
          <w:sz w:val="24"/>
          <w:szCs w:val="24"/>
        </w:rPr>
      </w:pPr>
      <w:r>
        <w:rPr>
          <w:rFonts w:hint="eastAsia" w:ascii="Times New Roman" w:hAnsi="Times New Roman" w:eastAsia="宋体" w:cs="Times New Roman"/>
          <w:b/>
          <w:bCs/>
          <w:color w:val="auto"/>
          <w:sz w:val="24"/>
          <w:szCs w:val="24"/>
        </w:rPr>
        <w:t>第四十三条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Cs/>
          <w:color w:val="auto"/>
          <w:sz w:val="24"/>
          <w:szCs w:val="24"/>
        </w:rPr>
        <w:t>学院执行高等教育学籍学历电子注册管理制度，完善学籍学历信息管理办法，按相关规定完成学生学籍学历电子注册。</w:t>
      </w:r>
    </w:p>
    <w:p>
      <w:pPr>
        <w:snapToGrid w:val="0"/>
        <w:spacing w:line="360" w:lineRule="auto"/>
        <w:ind w:firstLine="482" w:firstLineChars="200"/>
        <w:rPr>
          <w:rFonts w:ascii="Times New Roman" w:hAnsi="Times New Roman" w:eastAsia="宋体" w:cs="Times New Roman"/>
          <w:bCs/>
          <w:color w:val="auto"/>
          <w:sz w:val="24"/>
          <w:szCs w:val="24"/>
        </w:rPr>
      </w:pPr>
      <w:r>
        <w:rPr>
          <w:rFonts w:hint="eastAsia" w:ascii="Times New Roman" w:hAnsi="Times New Roman" w:eastAsia="宋体" w:cs="Times New Roman"/>
          <w:b/>
          <w:bCs/>
          <w:color w:val="auto"/>
          <w:sz w:val="24"/>
          <w:szCs w:val="24"/>
        </w:rPr>
        <w:t>第四十四条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Cs/>
          <w:color w:val="auto"/>
          <w:sz w:val="24"/>
          <w:szCs w:val="24"/>
        </w:rPr>
        <w:t>对完成本专业学业同时辅修其他专业并达到该专业辅修要求的学生，由学院发给辅修专业证书。</w:t>
      </w:r>
    </w:p>
    <w:p>
      <w:pPr>
        <w:snapToGrid w:val="0"/>
        <w:spacing w:line="360" w:lineRule="auto"/>
        <w:ind w:firstLine="482" w:firstLineChars="200"/>
        <w:rPr>
          <w:rFonts w:ascii="Times New Roman" w:hAnsi="Times New Roman" w:eastAsia="宋体" w:cs="Times New Roman"/>
          <w:bCs/>
          <w:color w:val="auto"/>
          <w:sz w:val="24"/>
          <w:szCs w:val="24"/>
        </w:rPr>
      </w:pPr>
      <w:r>
        <w:rPr>
          <w:rFonts w:hint="eastAsia" w:ascii="Times New Roman" w:hAnsi="Times New Roman" w:eastAsia="宋体" w:cs="Times New Roman"/>
          <w:b/>
          <w:bCs/>
          <w:color w:val="auto"/>
          <w:sz w:val="24"/>
          <w:szCs w:val="24"/>
        </w:rPr>
        <w:t>第四十五条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Cs/>
          <w:color w:val="auto"/>
          <w:sz w:val="24"/>
          <w:szCs w:val="24"/>
        </w:rPr>
        <w:t>对违反国家招生规定取得入学资格或者学籍的，学院取消其学籍，不发学历证书；已发的学历证书，学院依法予以撤销。对以作弊、剽窃、抄袭等学术不端行为或者其他不正当手段获得学历证书的，学院依法予以撤销。</w:t>
      </w:r>
    </w:p>
    <w:p>
      <w:pPr>
        <w:snapToGrid w:val="0"/>
        <w:spacing w:line="360" w:lineRule="auto"/>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被撤销的学历证书已注册的，学院予以注销并报教育行政部门宣布无效。</w:t>
      </w:r>
    </w:p>
    <w:p>
      <w:pPr>
        <w:snapToGrid w:val="0"/>
        <w:spacing w:line="360" w:lineRule="auto"/>
        <w:ind w:firstLine="482" w:firstLineChars="200"/>
        <w:rPr>
          <w:rFonts w:ascii="Times New Roman" w:hAnsi="Times New Roman" w:eastAsia="宋体" w:cs="Times New Roman"/>
          <w:bCs/>
          <w:color w:val="auto"/>
          <w:sz w:val="24"/>
          <w:szCs w:val="24"/>
        </w:rPr>
      </w:pPr>
      <w:r>
        <w:rPr>
          <w:rFonts w:hint="eastAsia" w:ascii="Times New Roman" w:hAnsi="Times New Roman" w:eastAsia="宋体" w:cs="Times New Roman"/>
          <w:b/>
          <w:bCs/>
          <w:color w:val="auto"/>
          <w:sz w:val="24"/>
          <w:szCs w:val="24"/>
        </w:rPr>
        <w:t>第四十六条</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Cs/>
          <w:color w:val="auto"/>
          <w:sz w:val="24"/>
          <w:szCs w:val="24"/>
        </w:rPr>
        <w:t>学历证书遗失或者损坏，经本人申请，学院核实后可出具相应的证明书。证明书与原证书具有同等效力。</w:t>
      </w:r>
    </w:p>
    <w:p>
      <w:pPr>
        <w:snapToGrid w:val="0"/>
        <w:spacing w:line="360" w:lineRule="auto"/>
        <w:ind w:firstLine="482" w:firstLineChars="200"/>
        <w:jc w:val="center"/>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第九章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奖励与处分</w:t>
      </w:r>
    </w:p>
    <w:p>
      <w:pPr>
        <w:snapToGrid w:val="0"/>
        <w:spacing w:line="360" w:lineRule="auto"/>
        <w:ind w:firstLine="480" w:firstLineChars="200"/>
        <w:jc w:val="center"/>
        <w:rPr>
          <w:rFonts w:ascii="Times New Roman" w:hAnsi="Times New Roman" w:eastAsia="宋体" w:cs="Times New Roman"/>
          <w:bCs/>
          <w:color w:val="auto"/>
          <w:sz w:val="24"/>
          <w:szCs w:val="24"/>
        </w:rPr>
      </w:pP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第四十七条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学院对在德、智、体、美、劳等方面全面发展或者在思想品德、学业成绩、科技创造、体育竞赛、文艺活动、志愿服务及社会实践等方面表现突出的学生，给予表彰和奖励。</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第四十八条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学院对学生的表彰和奖励采取授予“三好学生”称号或者其他荣誉称号、颁发奖学金等多种形式，给予相应的精神鼓励或者物质奖励。</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第四十九条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对有违反法律法规、本规定以及纪律行为的学生，学院将给予批评教育，并可视情节轻重，给予如下纪律处分：</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（一）警告；</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（二）严重警告；</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（三）记过；</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（四）留校察看；</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（五）开除学籍。</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学生有下列情形之一，可以给予开除学籍处分：</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（一）违反宪法，反对四项基本原则、破坏安定团结、扰乱社会秩序的；</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（二）触犯国家法律，构成刑事犯罪的；</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（三）受到治安管理处罚，情节严重、性质恶劣的；</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（四）代替他人或者让他人代替自己参加考试、组织作弊、使用通讯设备或其他器材作弊、向他人出售考试试题或答案牟取利益，以及其他严重作弊或扰乱考试秩序行为的；</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（五）公开发表的研究成果存在抄袭、篡改、伪造等学术不端行为，情节严重的，或者代写论文、买卖论文的；</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（六）违反本规定和学院规定，严重影响学院教育教学秩序、生活秩序以及公共场所管理秩序的；</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（七）侵害其他个人、组织合法权益，造成严重后果的；</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（八）屡次违反学院规定受到纪律处分，经教育不改的。</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第五十一条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学院对学生作出处分，出具处分决定书。处分决定书包括下列内容：</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（一）学生的基本信息；</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（二）作出处分的事实和证据；</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（三）处分的种类、依据、期限；</w:t>
      </w:r>
      <w:r>
        <w:rPr>
          <w:rFonts w:ascii="Times New Roman" w:hAnsi="Times New Roman" w:eastAsia="宋体" w:cs="Times New Roman"/>
          <w:color w:val="auto"/>
          <w:kern w:val="0"/>
          <w:sz w:val="24"/>
          <w:szCs w:val="24"/>
        </w:rPr>
        <w:t xml:space="preserve">  </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（四）申诉的途径和期限；</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　　（五）其他必要内容。</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第五十二条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学院给予学生处分，坚持教育与惩戒相结合，与学生违法、违纪行为的性质和过错的严重程度相适应。学院对学生的处分，做到证据充分、依据明确、定性准确、程序正当、处分适当。</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第五十三条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在对学生作出处分或者其他不利决定之前，学院将告知学生作出决定的事实、理由及依据，并告知学生享有陈述和申辩的权利，听取学生的陈述和申辩。</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处理、处分决定以及处分告知书等，将直接送达学生本人，学生拒绝签收的，可以以留置方式送达；已离校的，可以采取邮寄方式送达；难于联</w:t>
      </w:r>
      <w:r>
        <w:rPr>
          <w:rFonts w:hint="eastAsia" w:ascii="Times New Roman" w:hAnsi="Times New Roman" w:eastAsia="宋体" w:cs="Times New Roman"/>
          <w:color w:val="auto"/>
          <w:kern w:val="0"/>
          <w:sz w:val="24"/>
          <w:szCs w:val="24"/>
          <w:lang w:eastAsia="zh-CN"/>
        </w:rPr>
        <w:t>二级学院</w:t>
      </w:r>
      <w:r>
        <w:rPr>
          <w:rFonts w:hint="eastAsia" w:ascii="Times New Roman" w:hAnsi="Times New Roman" w:eastAsia="宋体" w:cs="Times New Roman"/>
          <w:color w:val="auto"/>
          <w:kern w:val="0"/>
          <w:sz w:val="24"/>
          <w:szCs w:val="24"/>
        </w:rPr>
        <w:t>的，可以利用学院网站、新闻媒体等以公告方式送达。</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第五十四条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对学生作出取消入学资格、取消学籍、退学、开除学籍或者其他涉及学生重大利益的处理或者处分决定的，将提交院办公会或者院长授权的专门会议研究决定，并将事先进行合法性审查。</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第五十五条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除开除学籍处分以外，给予学生处分一般设置</w:t>
      </w:r>
      <w:r>
        <w:rPr>
          <w:rFonts w:ascii="Times New Roman" w:hAnsi="Times New Roman" w:eastAsia="宋体" w:cs="Times New Roman"/>
          <w:color w:val="auto"/>
          <w:kern w:val="0"/>
          <w:sz w:val="24"/>
          <w:szCs w:val="24"/>
        </w:rPr>
        <w:t>6</w:t>
      </w:r>
      <w:r>
        <w:rPr>
          <w:rFonts w:hint="eastAsia" w:ascii="Times New Roman" w:hAnsi="Times New Roman" w:eastAsia="宋体" w:cs="Times New Roman"/>
          <w:color w:val="auto"/>
          <w:kern w:val="0"/>
          <w:sz w:val="24"/>
          <w:szCs w:val="24"/>
        </w:rPr>
        <w:t>到</w:t>
      </w:r>
      <w:r>
        <w:rPr>
          <w:rFonts w:ascii="Times New Roman" w:hAnsi="Times New Roman" w:eastAsia="宋体" w:cs="Times New Roman"/>
          <w:color w:val="auto"/>
          <w:kern w:val="0"/>
          <w:sz w:val="24"/>
          <w:szCs w:val="24"/>
        </w:rPr>
        <w:t>12</w:t>
      </w:r>
      <w:r>
        <w:rPr>
          <w:rFonts w:hint="eastAsia" w:ascii="Times New Roman" w:hAnsi="Times New Roman" w:eastAsia="宋体" w:cs="Times New Roman"/>
          <w:color w:val="auto"/>
          <w:kern w:val="0"/>
          <w:sz w:val="24"/>
          <w:szCs w:val="24"/>
        </w:rPr>
        <w:t>个月期限，到期按学院规定程序予以解除。解除处分后，学生获得表彰、奖励及其他权益，不再受原处分的影响。</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第五十六条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对学生的奖励、处理、处分及解除处分材料，学院将真实完整地归入学院文书档案和本人档案。</w:t>
      </w:r>
    </w:p>
    <w:p>
      <w:pPr>
        <w:widowControl/>
        <w:snapToGrid w:val="0"/>
        <w:spacing w:line="360" w:lineRule="auto"/>
        <w:ind w:firstLine="480"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被开除学籍的学生，由学院发给学习证明。学生按学院规定期限离校，档案由学院退回其家庭所在地，户口应当按照国家相关规定迁回原户籍地或者家庭户籍所在地。</w:t>
      </w:r>
    </w:p>
    <w:p>
      <w:pPr>
        <w:widowControl/>
        <w:snapToGrid w:val="0"/>
        <w:spacing w:line="360" w:lineRule="auto"/>
        <w:ind w:firstLine="482" w:firstLineChars="200"/>
        <w:jc w:val="center"/>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第十章</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b/>
          <w:bCs/>
          <w:color w:val="auto"/>
          <w:sz w:val="24"/>
          <w:szCs w:val="24"/>
        </w:rPr>
        <w:t>学生申诉</w:t>
      </w:r>
    </w:p>
    <w:p>
      <w:pPr>
        <w:widowControl/>
        <w:snapToGrid w:val="0"/>
        <w:spacing w:line="360" w:lineRule="auto"/>
        <w:ind w:firstLine="480" w:firstLineChars="200"/>
        <w:jc w:val="center"/>
        <w:rPr>
          <w:rFonts w:ascii="Times New Roman" w:hAnsi="Times New Roman" w:eastAsia="宋体" w:cs="Times New Roman"/>
          <w:color w:val="auto"/>
          <w:kern w:val="0"/>
          <w:sz w:val="24"/>
          <w:szCs w:val="24"/>
        </w:rPr>
      </w:pP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第五十七条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学生对学院的处理或者处分决定有异议的，可以在接到学院处理或者处分决定书之日起</w:t>
      </w:r>
      <w:r>
        <w:rPr>
          <w:rFonts w:ascii="Times New Roman" w:hAnsi="Times New Roman" w:eastAsia="宋体" w:cs="Times New Roman"/>
          <w:color w:val="auto"/>
          <w:kern w:val="0"/>
          <w:sz w:val="24"/>
          <w:szCs w:val="24"/>
        </w:rPr>
        <w:t>10</w:t>
      </w:r>
      <w:r>
        <w:rPr>
          <w:rFonts w:hint="eastAsia" w:ascii="Times New Roman" w:hAnsi="Times New Roman" w:eastAsia="宋体" w:cs="Times New Roman"/>
          <w:color w:val="auto"/>
          <w:kern w:val="0"/>
          <w:sz w:val="24"/>
          <w:szCs w:val="24"/>
        </w:rPr>
        <w:t>日内，提出书面申诉。</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第五十八条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学院有关部门对学生提出的申诉进行复查，并在接到书面申诉之日起</w:t>
      </w:r>
      <w:r>
        <w:rPr>
          <w:rFonts w:ascii="Times New Roman" w:hAnsi="Times New Roman" w:eastAsia="宋体" w:cs="Times New Roman"/>
          <w:color w:val="auto"/>
          <w:kern w:val="0"/>
          <w:sz w:val="24"/>
          <w:szCs w:val="24"/>
        </w:rPr>
        <w:t>15</w:t>
      </w:r>
      <w:r>
        <w:rPr>
          <w:rFonts w:hint="eastAsia" w:ascii="Times New Roman" w:hAnsi="Times New Roman" w:eastAsia="宋体" w:cs="Times New Roman"/>
          <w:color w:val="auto"/>
          <w:kern w:val="0"/>
          <w:sz w:val="24"/>
          <w:szCs w:val="24"/>
        </w:rPr>
        <w:t>日内作出复查结论并告知申诉人。情况复杂不能在规定限期内作出结论的，经学院负责人批准，可延长</w:t>
      </w:r>
      <w:r>
        <w:rPr>
          <w:rFonts w:ascii="Times New Roman" w:hAnsi="Times New Roman" w:eastAsia="宋体" w:cs="Times New Roman"/>
          <w:color w:val="auto"/>
          <w:kern w:val="0"/>
          <w:sz w:val="24"/>
          <w:szCs w:val="24"/>
        </w:rPr>
        <w:t>15</w:t>
      </w:r>
      <w:r>
        <w:rPr>
          <w:rFonts w:hint="eastAsia" w:ascii="Times New Roman" w:hAnsi="Times New Roman" w:eastAsia="宋体" w:cs="Times New Roman"/>
          <w:color w:val="auto"/>
          <w:kern w:val="0"/>
          <w:sz w:val="24"/>
          <w:szCs w:val="24"/>
        </w:rPr>
        <w:t>日。</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第五十九条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学生对复查决定有异议的，在接到学院复查决定书之日起</w:t>
      </w:r>
      <w:r>
        <w:rPr>
          <w:rFonts w:ascii="Times New Roman" w:hAnsi="Times New Roman" w:eastAsia="宋体" w:cs="Times New Roman"/>
          <w:color w:val="auto"/>
          <w:kern w:val="0"/>
          <w:sz w:val="24"/>
          <w:szCs w:val="24"/>
        </w:rPr>
        <w:t>15</w:t>
      </w:r>
      <w:r>
        <w:rPr>
          <w:rFonts w:hint="eastAsia" w:ascii="Times New Roman" w:hAnsi="Times New Roman" w:eastAsia="宋体" w:cs="Times New Roman"/>
          <w:color w:val="auto"/>
          <w:kern w:val="0"/>
          <w:sz w:val="24"/>
          <w:szCs w:val="24"/>
        </w:rPr>
        <w:t>日内，可以向学院所在地省级教育行政部门提出书面申诉。</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第六十条</w:t>
      </w:r>
      <w:r>
        <w:rPr>
          <w:rFonts w:ascii="Times New Roman" w:hAnsi="Times New Roman" w:eastAsia="宋体" w:cs="Times New Roman"/>
          <w:color w:val="auto"/>
          <w:kern w:val="0"/>
          <w:sz w:val="24"/>
          <w:szCs w:val="24"/>
        </w:rPr>
        <w:t xml:space="preserve">  </w:t>
      </w:r>
      <w:r>
        <w:rPr>
          <w:rFonts w:hint="eastAsia" w:ascii="Times New Roman" w:hAnsi="Times New Roman" w:eastAsia="宋体" w:cs="Times New Roman"/>
          <w:color w:val="auto"/>
          <w:kern w:val="0"/>
          <w:sz w:val="24"/>
          <w:szCs w:val="24"/>
        </w:rPr>
        <w:t>自处理、处分或者复查决定书送达之日起，学生在申诉期内未提出申诉的视为放弃申诉，学院或者省级教育行政部门不再受理其提出的申诉。</w:t>
      </w:r>
    </w:p>
    <w:p>
      <w:pPr>
        <w:widowControl/>
        <w:snapToGrid w:val="0"/>
        <w:spacing w:line="360" w:lineRule="auto"/>
        <w:ind w:firstLine="482" w:firstLineChars="200"/>
        <w:jc w:val="left"/>
        <w:rPr>
          <w:rFonts w:ascii="Times New Roman" w:hAnsi="Times New Roman" w:eastAsia="宋体" w:cs="Times New Roman"/>
          <w:color w:val="auto"/>
          <w:kern w:val="0"/>
          <w:sz w:val="24"/>
          <w:szCs w:val="24"/>
        </w:rPr>
      </w:pPr>
      <w:r>
        <w:rPr>
          <w:rFonts w:hint="eastAsia" w:ascii="Times New Roman" w:hAnsi="Times New Roman" w:eastAsia="宋体" w:cs="Times New Roman"/>
          <w:b/>
          <w:color w:val="auto"/>
          <w:kern w:val="0"/>
          <w:sz w:val="24"/>
          <w:szCs w:val="24"/>
        </w:rPr>
        <w:t>第六十一条</w:t>
      </w:r>
      <w:r>
        <w:rPr>
          <w:rFonts w:ascii="Times New Roman" w:hAnsi="Times New Roman" w:eastAsia="宋体" w:cs="Times New Roman"/>
          <w:b/>
          <w:color w:val="auto"/>
          <w:kern w:val="0"/>
          <w:sz w:val="24"/>
          <w:szCs w:val="24"/>
        </w:rPr>
        <w:t xml:space="preserve"> </w:t>
      </w:r>
      <w:r>
        <w:rPr>
          <w:rFonts w:hint="eastAsia" w:ascii="Times New Roman" w:hAnsi="Times New Roman" w:eastAsia="宋体" w:cs="Times New Roman"/>
          <w:color w:val="auto"/>
          <w:kern w:val="0"/>
          <w:sz w:val="24"/>
          <w:szCs w:val="24"/>
        </w:rPr>
        <w:t>学生认为学院及其工作人员违反本规定，侵害其合法权益的；或者学院制定的规章制度与法律法规和本规定抵触的，可以向学院所在地省级教育行政部门投诉。</w:t>
      </w:r>
    </w:p>
    <w:p>
      <w:pPr>
        <w:ind w:firstLine="643"/>
        <w:rPr>
          <w:rFonts w:ascii="Calibri" w:hAnsi="Calibri" w:eastAsia="宋体" w:cs="Times New Roman"/>
          <w:color w:val="auto"/>
        </w:rPr>
      </w:pPr>
    </w:p>
    <w:p>
      <w:pPr>
        <w:ind w:firstLine="643"/>
        <w:rPr>
          <w:rFonts w:ascii="Calibri" w:hAnsi="Calibri" w:eastAsia="宋体" w:cs="Times New Roman"/>
          <w:color w:val="auto"/>
        </w:rPr>
      </w:pPr>
    </w:p>
    <w:p>
      <w:pPr>
        <w:ind w:firstLine="643"/>
        <w:rPr>
          <w:rFonts w:ascii="Calibri" w:hAnsi="Calibri" w:eastAsia="宋体" w:cs="Times New Roman"/>
          <w:color w:val="auto"/>
        </w:rPr>
      </w:pPr>
    </w:p>
    <w:p>
      <w:pPr>
        <w:pStyle w:val="12"/>
        <w:spacing w:before="0" w:after="0" w:line="360" w:lineRule="auto"/>
        <w:ind w:firstLine="643" w:firstLineChars="200"/>
        <w:rPr>
          <w:rFonts w:eastAsia="宋体" w:cs="Times New Roman"/>
          <w:color w:val="auto"/>
        </w:rPr>
      </w:pPr>
      <w:r>
        <w:rPr>
          <w:rFonts w:eastAsia="宋体" w:cs="Times New Roman"/>
          <w:color w:val="auto"/>
        </w:rPr>
        <w:br w:type="page"/>
      </w:r>
    </w:p>
    <w:p>
      <w:pPr>
        <w:pStyle w:val="3"/>
        <w:bidi w:val="0"/>
        <w:jc w:val="center"/>
        <w:rPr>
          <w:color w:val="auto"/>
        </w:rPr>
      </w:pPr>
      <w:bookmarkStart w:id="38" w:name="_Toc6507"/>
      <w:r>
        <w:rPr>
          <w:rFonts w:hint="eastAsia"/>
          <w:color w:val="auto"/>
        </w:rPr>
        <w:t>转学管理办法</w:t>
      </w:r>
      <w:bookmarkEnd w:id="38"/>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为深入贯彻《普通高等学校学生管理规定》，结合教育部办公厅《关于进一步规范普通高等学校转学工作的通知》（教育厅</w:t>
      </w:r>
      <w:r>
        <w:rPr>
          <w:rFonts w:ascii="宋体" w:hAnsi="宋体" w:eastAsia="宋体" w:cs="FangSong_GB2312 Identity H"/>
          <w:color w:val="auto"/>
          <w:kern w:val="0"/>
          <w:sz w:val="24"/>
          <w:szCs w:val="21"/>
        </w:rPr>
        <w:t>[2015]4</w:t>
      </w:r>
      <w:r>
        <w:rPr>
          <w:rFonts w:hint="eastAsia" w:ascii="宋体" w:hAnsi="宋体" w:eastAsia="宋体" w:cs="FangSong_GB2312 Identity H"/>
          <w:color w:val="auto"/>
          <w:kern w:val="0"/>
          <w:sz w:val="24"/>
          <w:szCs w:val="21"/>
        </w:rPr>
        <w:t>号），规范学院学生转学制度，维护学生合法权益，特制定本办法。</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第一条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学生一般应当在被录取学校完成学业。</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第二条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因患病或者确有特殊困难、特别需要，无法继续在本校学习的，可以申请转学。其中患病学生需提供经转出学院、拟转入学院指定医院检查证明。特殊困难一般指因家庭有特殊情况，确需学生本人就近照顾的。</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第三条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申请转学的学生高考分数应达到拟转入学院相关专业在生源地相应年份的高考录取分数。</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第四条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学生有下列情形之一，不得转学：</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（一）入学未满一学期或者毕业前一年的；</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（二）高考录取分数低于拟转入学院相关专业在生源地相应年份的高考录取分数；</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（三）低学历层次转为高学历层次；</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（四）以定向招生录取的；</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（五）跨学科专业门类；</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（六）应予退学或开除学籍的；</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（七）其他无正当理由的。</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第五条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学生申请转学，按下列程序办理：</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（一）其他高等学校要求转入我院学习，需经转出学院将学生的转学材料寄给</w:t>
      </w:r>
      <w:r>
        <w:rPr>
          <w:rFonts w:hint="eastAsia" w:ascii="宋体" w:hAnsi="宋体" w:eastAsia="宋体" w:cs="FangSong_GB2312 Identity H"/>
          <w:color w:val="auto"/>
          <w:kern w:val="0"/>
          <w:sz w:val="24"/>
          <w:szCs w:val="21"/>
          <w:lang w:eastAsia="zh-CN"/>
        </w:rPr>
        <w:t>教务部</w:t>
      </w:r>
      <w:r>
        <w:rPr>
          <w:rFonts w:hint="eastAsia" w:ascii="宋体" w:hAnsi="宋体" w:eastAsia="宋体" w:cs="FangSong_GB2312 Identity H"/>
          <w:color w:val="auto"/>
          <w:kern w:val="0"/>
          <w:sz w:val="24"/>
          <w:szCs w:val="21"/>
        </w:rPr>
        <w:t>，</w:t>
      </w:r>
      <w:r>
        <w:rPr>
          <w:rFonts w:hint="eastAsia" w:ascii="宋体" w:hAnsi="宋体" w:eastAsia="宋体" w:cs="FangSong_GB2312 Identity H"/>
          <w:color w:val="auto"/>
          <w:kern w:val="0"/>
          <w:sz w:val="24"/>
          <w:szCs w:val="21"/>
          <w:lang w:eastAsia="zh-CN"/>
        </w:rPr>
        <w:t>教务部</w:t>
      </w:r>
      <w:r>
        <w:rPr>
          <w:rFonts w:hint="eastAsia" w:ascii="宋体" w:hAnsi="宋体" w:eastAsia="宋体" w:cs="FangSong_GB2312 Identity H"/>
          <w:color w:val="auto"/>
          <w:kern w:val="0"/>
          <w:sz w:val="24"/>
          <w:szCs w:val="21"/>
        </w:rPr>
        <w:t>审核转学条件以及相关证明，符合我院要求的，经院长办公会议研究决定同意转入的，可以转入，并报省教育厅备案。</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（二）我院学生要求转到其他高等学校学习的，由学生本人向所在</w:t>
      </w:r>
      <w:r>
        <w:rPr>
          <w:rFonts w:hint="eastAsia" w:ascii="宋体" w:hAnsi="宋体" w:eastAsia="宋体" w:cs="FangSong_GB2312 Identity H"/>
          <w:color w:val="auto"/>
          <w:kern w:val="0"/>
          <w:sz w:val="24"/>
          <w:szCs w:val="21"/>
          <w:lang w:eastAsia="zh-CN"/>
        </w:rPr>
        <w:t>二级学院</w:t>
      </w:r>
      <w:r>
        <w:rPr>
          <w:rFonts w:hint="eastAsia" w:ascii="宋体" w:hAnsi="宋体" w:eastAsia="宋体" w:cs="FangSong_GB2312 Identity H"/>
          <w:color w:val="auto"/>
          <w:kern w:val="0"/>
          <w:sz w:val="24"/>
          <w:szCs w:val="21"/>
        </w:rPr>
        <w:t>提交书面申请及相关证明（因病转学要有二级甲等以上医院的医疗诊断证明），经</w:t>
      </w:r>
      <w:r>
        <w:rPr>
          <w:rFonts w:hint="eastAsia" w:ascii="宋体" w:hAnsi="宋体" w:eastAsia="宋体" w:cs="FangSong_GB2312 Identity H"/>
          <w:color w:val="auto"/>
          <w:kern w:val="0"/>
          <w:sz w:val="24"/>
          <w:szCs w:val="21"/>
          <w:lang w:eastAsia="zh-CN"/>
        </w:rPr>
        <w:t>二级学院</w:t>
      </w:r>
      <w:r>
        <w:rPr>
          <w:rFonts w:hint="eastAsia" w:ascii="宋体" w:hAnsi="宋体" w:eastAsia="宋体" w:cs="FangSong_GB2312 Identity H"/>
          <w:color w:val="auto"/>
          <w:kern w:val="0"/>
          <w:sz w:val="24"/>
          <w:szCs w:val="21"/>
        </w:rPr>
        <w:t>领导审查同意后，送</w:t>
      </w:r>
      <w:r>
        <w:rPr>
          <w:rFonts w:hint="eastAsia" w:ascii="宋体" w:hAnsi="宋体" w:eastAsia="宋体" w:cs="FangSong_GB2312 Identity H"/>
          <w:color w:val="auto"/>
          <w:kern w:val="0"/>
          <w:sz w:val="24"/>
          <w:szCs w:val="21"/>
          <w:lang w:eastAsia="zh-CN"/>
        </w:rPr>
        <w:t>教务部</w:t>
      </w:r>
      <w:r>
        <w:rPr>
          <w:rFonts w:hint="eastAsia" w:ascii="宋体" w:hAnsi="宋体" w:eastAsia="宋体" w:cs="FangSong_GB2312 Identity H"/>
          <w:color w:val="auto"/>
          <w:kern w:val="0"/>
          <w:sz w:val="24"/>
          <w:szCs w:val="21"/>
        </w:rPr>
        <w:t>审核并呈主管院长审批，由</w:t>
      </w:r>
      <w:r>
        <w:rPr>
          <w:rFonts w:hint="eastAsia" w:ascii="宋体" w:hAnsi="宋体" w:eastAsia="宋体" w:cs="FangSong_GB2312 Identity H"/>
          <w:color w:val="auto"/>
          <w:kern w:val="0"/>
          <w:sz w:val="24"/>
          <w:szCs w:val="21"/>
          <w:lang w:eastAsia="zh-CN"/>
        </w:rPr>
        <w:t>教务部</w:t>
      </w:r>
      <w:r>
        <w:rPr>
          <w:rFonts w:hint="eastAsia" w:ascii="宋体" w:hAnsi="宋体" w:eastAsia="宋体" w:cs="FangSong_GB2312 Identity H"/>
          <w:color w:val="auto"/>
          <w:kern w:val="0"/>
          <w:sz w:val="24"/>
          <w:szCs w:val="21"/>
        </w:rPr>
        <w:t>与拟转入学院联</w:t>
      </w:r>
      <w:r>
        <w:rPr>
          <w:rFonts w:hint="eastAsia" w:ascii="宋体" w:hAnsi="宋体" w:eastAsia="宋体" w:cs="FangSong_GB2312 Identity H"/>
          <w:color w:val="auto"/>
          <w:kern w:val="0"/>
          <w:sz w:val="24"/>
          <w:szCs w:val="21"/>
          <w:lang w:eastAsia="zh-CN"/>
        </w:rPr>
        <w:t>二级学院</w:t>
      </w:r>
      <w:r>
        <w:rPr>
          <w:rFonts w:hint="eastAsia" w:ascii="宋体" w:hAnsi="宋体" w:eastAsia="宋体" w:cs="FangSong_GB2312 Identity H"/>
          <w:color w:val="auto"/>
          <w:kern w:val="0"/>
          <w:sz w:val="24"/>
          <w:szCs w:val="21"/>
        </w:rPr>
        <w:t>寄送相关资料，并报省教育厅审批。</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（三）在接到省教育厅同意转学通知后，学生方可办理相关手续。</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（四）对拟转学学生相关信息（主要包括：学生姓名</w:t>
      </w:r>
      <w:r>
        <w:rPr>
          <w:rFonts w:ascii="宋体" w:hAnsi="Calibri" w:eastAsia="宋体" w:cs="FangSong_GB2312 Identity H"/>
          <w:color w:val="auto"/>
          <w:kern w:val="0"/>
          <w:sz w:val="24"/>
          <w:szCs w:val="21"/>
        </w:rPr>
        <w:t>,</w:t>
      </w:r>
      <w:r>
        <w:rPr>
          <w:rFonts w:hint="eastAsia" w:ascii="宋体" w:hAnsi="宋体" w:eastAsia="宋体" w:cs="FangSong_GB2312 Identity H"/>
          <w:color w:val="auto"/>
          <w:kern w:val="0"/>
          <w:sz w:val="24"/>
          <w:szCs w:val="21"/>
        </w:rPr>
        <w:t>转出、拟转入学院和专业名称</w:t>
      </w:r>
      <w:r>
        <w:rPr>
          <w:rFonts w:ascii="宋体" w:hAnsi="Calibri" w:eastAsia="宋体" w:cs="FangSong_GB2312 Identity H"/>
          <w:color w:val="auto"/>
          <w:kern w:val="0"/>
          <w:sz w:val="24"/>
          <w:szCs w:val="21"/>
        </w:rPr>
        <w:t>,</w:t>
      </w:r>
      <w:r>
        <w:rPr>
          <w:rFonts w:hint="eastAsia" w:ascii="宋体" w:hAnsi="宋体" w:eastAsia="宋体" w:cs="FangSong_GB2312 Identity H"/>
          <w:color w:val="auto"/>
          <w:kern w:val="0"/>
          <w:sz w:val="24"/>
          <w:szCs w:val="21"/>
        </w:rPr>
        <w:t>入学年份</w:t>
      </w:r>
      <w:r>
        <w:rPr>
          <w:rFonts w:ascii="宋体" w:hAnsi="Calibri" w:eastAsia="宋体" w:cs="FangSong_GB2312 Identity H"/>
          <w:color w:val="auto"/>
          <w:kern w:val="0"/>
          <w:sz w:val="24"/>
          <w:szCs w:val="21"/>
        </w:rPr>
        <w:t>,</w:t>
      </w:r>
      <w:r>
        <w:rPr>
          <w:rFonts w:hint="eastAsia" w:ascii="宋体" w:hAnsi="宋体" w:eastAsia="宋体" w:cs="FangSong_GB2312 Identity H"/>
          <w:color w:val="auto"/>
          <w:kern w:val="0"/>
          <w:sz w:val="24"/>
          <w:szCs w:val="21"/>
        </w:rPr>
        <w:t>录取分数</w:t>
      </w:r>
      <w:r>
        <w:rPr>
          <w:rFonts w:ascii="宋体" w:hAnsi="Calibri" w:eastAsia="宋体" w:cs="FangSong_GB2312 Identity H"/>
          <w:color w:val="auto"/>
          <w:kern w:val="0"/>
          <w:sz w:val="24"/>
          <w:szCs w:val="21"/>
        </w:rPr>
        <w:t>,</w:t>
      </w:r>
      <w:r>
        <w:rPr>
          <w:rFonts w:hint="eastAsia" w:ascii="宋体" w:hAnsi="宋体" w:eastAsia="宋体" w:cs="FangSong_GB2312 Identity H"/>
          <w:color w:val="auto"/>
          <w:kern w:val="0"/>
          <w:sz w:val="24"/>
          <w:szCs w:val="21"/>
        </w:rPr>
        <w:t>转学理由等）通过学院公告栏及网站进行不少于</w:t>
      </w:r>
      <w:r>
        <w:rPr>
          <w:rFonts w:ascii="宋体" w:hAnsi="宋体" w:eastAsia="宋体" w:cs="FangSong_GB2312 Identity H"/>
          <w:color w:val="auto"/>
          <w:kern w:val="0"/>
          <w:sz w:val="24"/>
          <w:szCs w:val="21"/>
        </w:rPr>
        <w:t>5</w:t>
      </w:r>
      <w:r>
        <w:rPr>
          <w:rFonts w:hint="eastAsia" w:ascii="宋体" w:hAnsi="宋体" w:eastAsia="宋体" w:cs="FangSong_GB2312 Identity H"/>
          <w:color w:val="auto"/>
          <w:kern w:val="0"/>
          <w:sz w:val="24"/>
          <w:szCs w:val="21"/>
        </w:rPr>
        <w:t>个工作日的公示。</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第六条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办理校际转学手续必须提交下列资料：</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（一）《普通高等学校学生转学申请表》；</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（二）学生转学申请报告及有关证明；</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（三）新生录取审批表；</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（四）入学以来的学习成绩单；</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（五）体检表；</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（六）操行评定意见书；</w:t>
      </w:r>
    </w:p>
    <w:p>
      <w:pPr>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（七）学院的审批意见及省教育厅的审批意见。</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第七条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校际转学手续的办理每年两次，时间是每年的</w:t>
      </w:r>
      <w:r>
        <w:rPr>
          <w:rFonts w:ascii="宋体" w:hAnsi="宋体" w:eastAsia="宋体" w:cs="FangSong_GB2312 Identity H"/>
          <w:color w:val="auto"/>
          <w:kern w:val="0"/>
          <w:sz w:val="24"/>
          <w:szCs w:val="21"/>
        </w:rPr>
        <w:t>6</w:t>
      </w:r>
      <w:r>
        <w:rPr>
          <w:rFonts w:hint="eastAsia" w:ascii="宋体" w:hAnsi="宋体" w:eastAsia="宋体" w:cs="FangSong_GB2312 Identity H"/>
          <w:color w:val="auto"/>
          <w:kern w:val="0"/>
          <w:sz w:val="24"/>
          <w:szCs w:val="21"/>
        </w:rPr>
        <w:t>月或</w:t>
      </w:r>
      <w:r>
        <w:rPr>
          <w:rFonts w:ascii="宋体" w:hAnsi="宋体" w:eastAsia="宋体" w:cs="FangSong_GB2312 Identity H"/>
          <w:color w:val="auto"/>
          <w:kern w:val="0"/>
          <w:sz w:val="24"/>
          <w:szCs w:val="21"/>
        </w:rPr>
        <w:t>12</w:t>
      </w:r>
      <w:r>
        <w:rPr>
          <w:rFonts w:hint="eastAsia" w:ascii="宋体" w:hAnsi="宋体" w:eastAsia="宋体" w:cs="FangSong_GB2312 Identity H"/>
          <w:color w:val="auto"/>
          <w:kern w:val="0"/>
          <w:sz w:val="24"/>
          <w:szCs w:val="21"/>
        </w:rPr>
        <w:t>月。</w:t>
      </w:r>
    </w:p>
    <w:p>
      <w:pPr>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第八条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严格规范转学工作，严禁以转学为幌子，变相突破高等学校招生录取分数线择校、择专业，严禁违反程序、弄虚作假、徇私舞弊、以权谋私等行为。</w:t>
      </w: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spacing w:line="360" w:lineRule="auto"/>
        <w:rPr>
          <w:rFonts w:ascii="宋体" w:hAnsi="Calibri" w:eastAsia="宋体" w:cs="FangSong_GB2312 Identity H"/>
          <w:color w:val="auto"/>
          <w:kern w:val="0"/>
          <w:sz w:val="24"/>
          <w:szCs w:val="21"/>
        </w:rPr>
      </w:pPr>
    </w:p>
    <w:p>
      <w:pPr>
        <w:spacing w:line="360" w:lineRule="auto"/>
        <w:ind w:firstLine="480" w:firstLineChars="200"/>
        <w:rPr>
          <w:rFonts w:ascii="宋体" w:hAnsi="Calibri" w:eastAsia="宋体" w:cs="FangSong_GB2312 Identity H"/>
          <w:color w:val="auto"/>
          <w:kern w:val="0"/>
          <w:sz w:val="24"/>
          <w:szCs w:val="21"/>
        </w:rPr>
      </w:pPr>
    </w:p>
    <w:p>
      <w:pPr>
        <w:pStyle w:val="3"/>
        <w:bidi w:val="0"/>
        <w:jc w:val="center"/>
        <w:rPr>
          <w:color w:val="auto"/>
        </w:rPr>
      </w:pPr>
      <w:bookmarkStart w:id="39" w:name="_Toc26773"/>
      <w:r>
        <w:rPr>
          <w:rFonts w:hint="eastAsia"/>
          <w:color w:val="auto"/>
        </w:rPr>
        <w:t>新生保留入学资格办法</w:t>
      </w:r>
      <w:bookmarkEnd w:id="39"/>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第一条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为保障学生的正当权益，根据教育部高等院校学生学籍管理规定，新生可以申请保留入学资格，特制定本办法。</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第二条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保留入学资格期间不具有学籍，不享有在院生待遇。</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第三条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符合下列情形之一，可申请办理保留入学资格：</w:t>
      </w:r>
    </w:p>
    <w:p>
      <w:pPr>
        <w:spacing w:line="360" w:lineRule="auto"/>
        <w:ind w:firstLine="480" w:firstLineChars="200"/>
        <w:rPr>
          <w:rFonts w:ascii="宋体" w:hAnsi="Calibri" w:eastAsia="宋体" w:cs="FangSong_GB2312 Identity H"/>
          <w:color w:val="auto"/>
          <w:kern w:val="0"/>
          <w:sz w:val="24"/>
          <w:szCs w:val="24"/>
        </w:rPr>
      </w:pPr>
      <w:r>
        <w:rPr>
          <w:rFonts w:ascii="宋体" w:hAnsi="宋体" w:eastAsia="宋体" w:cs="FangSong_GB2312 Identity H"/>
          <w:color w:val="auto"/>
          <w:kern w:val="0"/>
          <w:sz w:val="24"/>
          <w:szCs w:val="24"/>
        </w:rPr>
        <w:t>1.</w:t>
      </w:r>
      <w:r>
        <w:rPr>
          <w:rFonts w:hint="eastAsia" w:ascii="宋体" w:hAnsi="宋体" w:eastAsia="宋体" w:cs="FangSong_GB2312 Identity H"/>
          <w:color w:val="auto"/>
          <w:kern w:val="0"/>
          <w:sz w:val="24"/>
          <w:szCs w:val="24"/>
        </w:rPr>
        <w:t>新生入学前因伤、病，经二级甲等以上医院诊断，需要休养的，或因其他原因，经</w:t>
      </w:r>
      <w:r>
        <w:rPr>
          <w:rFonts w:ascii="Calibri" w:hAnsi="Calibri" w:eastAsia="宋体" w:cs="Times New Roman"/>
          <w:color w:val="auto"/>
        </w:rPr>
        <w:fldChar w:fldCharType="begin"/>
      </w:r>
      <w:r>
        <w:rPr>
          <w:rFonts w:ascii="Calibri" w:hAnsi="Calibri" w:eastAsia="宋体" w:cs="Times New Roman"/>
          <w:color w:val="auto"/>
        </w:rPr>
        <w:instrText xml:space="preserve"> HYPERLINK "http://baike.baidu.com/item/%E5%AD%A6%E9%99%A2" \t "_blank" </w:instrText>
      </w:r>
      <w:r>
        <w:rPr>
          <w:rFonts w:ascii="Calibri" w:hAnsi="Calibri" w:eastAsia="宋体" w:cs="Times New Roman"/>
          <w:color w:val="auto"/>
        </w:rPr>
        <w:fldChar w:fldCharType="separate"/>
      </w:r>
      <w:r>
        <w:rPr>
          <w:rFonts w:hint="eastAsia" w:ascii="宋体" w:hAnsi="宋体" w:eastAsia="宋体" w:cs="FangSong_GB2312 Identity H"/>
          <w:color w:val="auto"/>
          <w:kern w:val="0"/>
          <w:sz w:val="24"/>
          <w:szCs w:val="24"/>
        </w:rPr>
        <w:t>学院</w:t>
      </w:r>
      <w:r>
        <w:rPr>
          <w:rFonts w:ascii="宋体" w:hAnsi="宋体" w:eastAsia="宋体" w:cs="FangSong_GB2312 Identity H"/>
          <w:color w:val="auto"/>
          <w:kern w:val="0"/>
          <w:sz w:val="24"/>
          <w:szCs w:val="24"/>
        </w:rPr>
        <w:fldChar w:fldCharType="end"/>
      </w:r>
      <w:r>
        <w:rPr>
          <w:rFonts w:hint="eastAsia" w:ascii="宋体" w:hAnsi="宋体" w:eastAsia="宋体" w:cs="FangSong_GB2312 Identity H"/>
          <w:color w:val="auto"/>
          <w:kern w:val="0"/>
          <w:sz w:val="24"/>
          <w:szCs w:val="24"/>
        </w:rPr>
        <w:t>批准保留入学资格的；</w:t>
      </w:r>
    </w:p>
    <w:p>
      <w:pPr>
        <w:spacing w:line="360" w:lineRule="auto"/>
        <w:ind w:firstLine="480" w:firstLineChars="200"/>
        <w:rPr>
          <w:rFonts w:ascii="宋体" w:hAnsi="Calibri" w:eastAsia="宋体" w:cs="FangSong_GB2312 Identity H"/>
          <w:color w:val="auto"/>
          <w:kern w:val="0"/>
          <w:sz w:val="24"/>
          <w:szCs w:val="24"/>
        </w:rPr>
      </w:pPr>
      <w:r>
        <w:rPr>
          <w:rFonts w:ascii="宋体" w:hAnsi="宋体" w:eastAsia="宋体" w:cs="FangSong_GB2312 Identity H"/>
          <w:color w:val="auto"/>
          <w:kern w:val="0"/>
          <w:sz w:val="24"/>
          <w:szCs w:val="24"/>
        </w:rPr>
        <w:t>2.</w:t>
      </w:r>
      <w:r>
        <w:rPr>
          <w:rFonts w:hint="eastAsia" w:ascii="宋体" w:hAnsi="宋体" w:eastAsia="宋体" w:cs="FangSong_GB2312 Identity H"/>
          <w:color w:val="auto"/>
          <w:kern w:val="0"/>
          <w:sz w:val="24"/>
          <w:szCs w:val="24"/>
        </w:rPr>
        <w:t>新生因依法应征入伍未能到校报到的。</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第四条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新生因伤、病申请保留入学资格的，开学时需携带录取通知书和相关证明（医疗证明、身份证）到</w:t>
      </w:r>
      <w:r>
        <w:rPr>
          <w:rFonts w:hint="eastAsia" w:ascii="宋体" w:hAnsi="宋体" w:eastAsia="宋体" w:cs="FangSong_GB2312 Identity H"/>
          <w:color w:val="auto"/>
          <w:kern w:val="0"/>
          <w:sz w:val="24"/>
          <w:szCs w:val="24"/>
          <w:lang w:eastAsia="zh-CN"/>
        </w:rPr>
        <w:t>教务部</w:t>
      </w:r>
      <w:r>
        <w:rPr>
          <w:rFonts w:hint="eastAsia" w:ascii="宋体" w:hAnsi="宋体" w:eastAsia="宋体" w:cs="FangSong_GB2312 Identity H"/>
          <w:color w:val="auto"/>
          <w:kern w:val="0"/>
          <w:sz w:val="24"/>
          <w:szCs w:val="24"/>
        </w:rPr>
        <w:t>申请办理保留入学资格手续，经查核有关材料属实，填写《保留入学资格申请表》并提交证明材料，经学院审核通过后并由</w:t>
      </w:r>
      <w:r>
        <w:rPr>
          <w:rFonts w:hint="eastAsia" w:ascii="宋体" w:hAnsi="宋体" w:eastAsia="宋体" w:cs="FangSong_GB2312 Identity H"/>
          <w:color w:val="auto"/>
          <w:kern w:val="0"/>
          <w:sz w:val="24"/>
          <w:szCs w:val="24"/>
          <w:lang w:eastAsia="zh-CN"/>
        </w:rPr>
        <w:t>教务部</w:t>
      </w:r>
      <w:r>
        <w:rPr>
          <w:rFonts w:hint="eastAsia" w:ascii="宋体" w:hAnsi="宋体" w:eastAsia="宋体" w:cs="FangSong_GB2312 Identity H"/>
          <w:color w:val="auto"/>
          <w:kern w:val="0"/>
          <w:sz w:val="24"/>
          <w:szCs w:val="24"/>
        </w:rPr>
        <w:t>出具《保留入学资格通知书》，方可保留入学资格。</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第五条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新生保留入学资格期满前应持《保留入学资格通知书》和录取通知书向</w:t>
      </w:r>
      <w:r>
        <w:rPr>
          <w:rFonts w:hint="eastAsia" w:ascii="宋体" w:hAnsi="宋体" w:eastAsia="宋体" w:cs="FangSong_GB2312 Identity H"/>
          <w:color w:val="auto"/>
          <w:kern w:val="0"/>
          <w:sz w:val="24"/>
          <w:szCs w:val="24"/>
          <w:lang w:eastAsia="zh-CN"/>
        </w:rPr>
        <w:t>教务部</w:t>
      </w:r>
      <w:r>
        <w:rPr>
          <w:rFonts w:hint="eastAsia" w:ascii="宋体" w:hAnsi="宋体" w:eastAsia="宋体" w:cs="FangSong_GB2312 Identity H"/>
          <w:color w:val="auto"/>
          <w:kern w:val="0"/>
          <w:sz w:val="24"/>
          <w:szCs w:val="24"/>
        </w:rPr>
        <w:t>申请入学，经学院审查合格后，办理入学手续。审查不合格的，取消入学资格；逾期不办理入学手续且未有因不可抗力延迟等正当理由的，视为放弃入学资格。</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第六条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入伍新生申请保留入学资格，根据</w:t>
      </w:r>
      <w:r>
        <w:rPr>
          <w:rFonts w:ascii="Calibri" w:hAnsi="Calibri" w:eastAsia="宋体" w:cs="Times New Roman"/>
          <w:color w:val="auto"/>
        </w:rPr>
        <w:fldChar w:fldCharType="begin"/>
      </w:r>
      <w:r>
        <w:rPr>
          <w:rFonts w:ascii="Calibri" w:hAnsi="Calibri" w:eastAsia="宋体" w:cs="Times New Roman"/>
          <w:color w:val="auto"/>
        </w:rPr>
        <w:instrText xml:space="preserve"> HYPERLINK "http://www.moe.gov.cn/publicfiles/business/htmlfiles/moe/s3265/201307/154482.html" \t "_blank" </w:instrText>
      </w:r>
      <w:r>
        <w:rPr>
          <w:rFonts w:ascii="Calibri" w:hAnsi="Calibri" w:eastAsia="宋体" w:cs="Times New Roman"/>
          <w:color w:val="auto"/>
        </w:rPr>
        <w:fldChar w:fldCharType="separate"/>
      </w:r>
      <w:r>
        <w:rPr>
          <w:rFonts w:hint="eastAsia" w:ascii="宋体" w:hAnsi="宋体" w:eastAsia="宋体" w:cs="FangSong_GB2312 Identity H"/>
          <w:color w:val="auto"/>
          <w:kern w:val="0"/>
          <w:sz w:val="24"/>
          <w:szCs w:val="24"/>
        </w:rPr>
        <w:t>教育部总参谋部关于印发《应征入伍普通高等学校录取新生保留入学资格及退役后入学办法（试行）》的通知</w:t>
      </w:r>
      <w:r>
        <w:rPr>
          <w:rFonts w:ascii="宋体" w:hAnsi="宋体" w:eastAsia="宋体" w:cs="FangSong_GB2312 Identity H"/>
          <w:color w:val="auto"/>
          <w:kern w:val="0"/>
          <w:sz w:val="24"/>
          <w:szCs w:val="24"/>
        </w:rPr>
        <w:fldChar w:fldCharType="end"/>
      </w:r>
      <w:r>
        <w:rPr>
          <w:rFonts w:hint="eastAsia" w:ascii="宋体" w:hAnsi="宋体" w:eastAsia="宋体" w:cs="FangSong_GB2312 Identity H"/>
          <w:color w:val="auto"/>
          <w:kern w:val="0"/>
          <w:sz w:val="24"/>
          <w:szCs w:val="24"/>
        </w:rPr>
        <w:t>（教学</w:t>
      </w:r>
      <w:r>
        <w:rPr>
          <w:rFonts w:ascii="宋体" w:hAnsi="宋体" w:eastAsia="宋体" w:cs="FangSong_GB2312 Identity H"/>
          <w:color w:val="auto"/>
          <w:kern w:val="0"/>
          <w:sz w:val="24"/>
          <w:szCs w:val="24"/>
        </w:rPr>
        <w:t>[2013]8</w:t>
      </w:r>
      <w:r>
        <w:rPr>
          <w:rFonts w:hint="eastAsia" w:ascii="宋体" w:hAnsi="宋体" w:eastAsia="宋体" w:cs="FangSong_GB2312 Identity H"/>
          <w:color w:val="auto"/>
          <w:kern w:val="0"/>
          <w:sz w:val="24"/>
          <w:szCs w:val="24"/>
        </w:rPr>
        <w:t>号）办理保留入学资格手续。具体手续如下：</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（一）入伍新生本人持高校录取通知书和身份证</w:t>
      </w:r>
      <w:r>
        <w:rPr>
          <w:rFonts w:ascii="宋体" w:hAnsi="宋体" w:eastAsia="宋体" w:cs="FangSong_GB2312 Identity H"/>
          <w:color w:val="auto"/>
          <w:kern w:val="0"/>
          <w:sz w:val="24"/>
          <w:szCs w:val="24"/>
        </w:rPr>
        <w:t>(</w:t>
      </w:r>
      <w:r>
        <w:rPr>
          <w:rFonts w:hint="eastAsia" w:ascii="宋体" w:hAnsi="宋体" w:eastAsia="宋体" w:cs="FangSong_GB2312 Identity H"/>
          <w:color w:val="auto"/>
          <w:kern w:val="0"/>
          <w:sz w:val="24"/>
          <w:szCs w:val="24"/>
        </w:rPr>
        <w:t>户口薄</w:t>
      </w:r>
      <w:r>
        <w:rPr>
          <w:rFonts w:ascii="宋体" w:hAnsi="宋体" w:eastAsia="宋体" w:cs="FangSong_GB2312 Identity H"/>
          <w:color w:val="auto"/>
          <w:kern w:val="0"/>
          <w:sz w:val="24"/>
          <w:szCs w:val="24"/>
        </w:rPr>
        <w:t>)</w:t>
      </w:r>
      <w:r>
        <w:rPr>
          <w:rFonts w:hint="eastAsia" w:ascii="宋体" w:hAnsi="宋体" w:eastAsia="宋体" w:cs="FangSong_GB2312 Identity H"/>
          <w:color w:val="auto"/>
          <w:kern w:val="0"/>
          <w:sz w:val="24"/>
          <w:szCs w:val="24"/>
        </w:rPr>
        <w:t>、高中阶段教育毕业证，到入伍地县级征兵办公室领取并填写《应征入伍普通高等学校录取新生保留入学资格申请表》，也可委托其他人持上述证明材料及受委托人身份证代为办理。</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（二）县级征兵办将《保留入学资格申请表》加盖公章后连同入伍通知书复印件以公函形式寄送或直接递交到学院</w:t>
      </w:r>
      <w:r>
        <w:rPr>
          <w:rFonts w:hint="eastAsia" w:ascii="宋体" w:hAnsi="宋体" w:eastAsia="宋体" w:cs="FangSong_GB2312 Identity H"/>
          <w:color w:val="auto"/>
          <w:kern w:val="0"/>
          <w:sz w:val="24"/>
          <w:szCs w:val="24"/>
          <w:lang w:eastAsia="zh-CN"/>
        </w:rPr>
        <w:t>教务部</w:t>
      </w:r>
      <w:r>
        <w:rPr>
          <w:rFonts w:hint="eastAsia" w:ascii="宋体" w:hAnsi="宋体" w:eastAsia="宋体" w:cs="FangSong_GB2312 Identity H"/>
          <w:color w:val="auto"/>
          <w:kern w:val="0"/>
          <w:sz w:val="24"/>
          <w:szCs w:val="24"/>
        </w:rPr>
        <w:t>。</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（三）</w:t>
      </w:r>
      <w:r>
        <w:rPr>
          <w:rFonts w:hint="eastAsia" w:ascii="宋体" w:hAnsi="宋体" w:eastAsia="宋体" w:cs="FangSong_GB2312 Identity H"/>
          <w:color w:val="auto"/>
          <w:kern w:val="0"/>
          <w:sz w:val="24"/>
          <w:szCs w:val="24"/>
          <w:lang w:eastAsia="zh-CN"/>
        </w:rPr>
        <w:t>教务部</w:t>
      </w:r>
      <w:r>
        <w:rPr>
          <w:rFonts w:hint="eastAsia" w:ascii="宋体" w:hAnsi="宋体" w:eastAsia="宋体" w:cs="FangSong_GB2312 Identity H"/>
          <w:color w:val="auto"/>
          <w:kern w:val="0"/>
          <w:sz w:val="24"/>
          <w:szCs w:val="24"/>
        </w:rPr>
        <w:t>审核入伍新生申请保留入学资格的有关材料，对符合规定的，在学信网学生个人信息中标注“参军入伍”，出具《保留入学资格通知书》，将《保留入学资格申请表》加盖学院公章后，一份存档，一份连同《保留入学资格通知书》发放给入伍新生，入伍新生妥善留存《保留入学资格通知书》，将《保留入学资格申请表》递交县级征兵办。</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第七条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入伍新生退役（或被退回、或中途退役）后入学办法如下：</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学院对申请入学的退役（或被退回、或中途退役）后入伍新生，按照有关规定进行新生入学资格复查，复查合格的办理入学手续，复查不合格的取消其入学资格。</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（一）入伍新生退役后</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入伍新生在退役后</w:t>
      </w:r>
      <w:r>
        <w:rPr>
          <w:rFonts w:ascii="宋体" w:hAnsi="宋体" w:eastAsia="宋体" w:cs="FangSong_GB2312 Identity H"/>
          <w:color w:val="auto"/>
          <w:kern w:val="0"/>
          <w:sz w:val="24"/>
          <w:szCs w:val="24"/>
        </w:rPr>
        <w:t>2</w:t>
      </w:r>
      <w:r>
        <w:rPr>
          <w:rFonts w:hint="eastAsia" w:ascii="宋体" w:hAnsi="宋体" w:eastAsia="宋体" w:cs="FangSong_GB2312 Identity H"/>
          <w:color w:val="auto"/>
          <w:kern w:val="0"/>
          <w:sz w:val="24"/>
          <w:szCs w:val="24"/>
        </w:rPr>
        <w:t>年内，可以在退役当年或者第</w:t>
      </w:r>
      <w:r>
        <w:rPr>
          <w:rFonts w:ascii="宋体" w:hAnsi="宋体" w:eastAsia="宋体" w:cs="FangSong_GB2312 Identity H"/>
          <w:color w:val="auto"/>
          <w:kern w:val="0"/>
          <w:sz w:val="24"/>
          <w:szCs w:val="24"/>
        </w:rPr>
        <w:t>2</w:t>
      </w:r>
      <w:r>
        <w:rPr>
          <w:rFonts w:hint="eastAsia" w:ascii="宋体" w:hAnsi="宋体" w:eastAsia="宋体" w:cs="FangSong_GB2312 Identity H"/>
          <w:color w:val="auto"/>
          <w:kern w:val="0"/>
          <w:sz w:val="24"/>
          <w:szCs w:val="24"/>
        </w:rPr>
        <w:t>年新生入学期间，持《保留入学资格通知书》和学院录取通知书，到学院办理入学手续。</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入伍新生重新报名参加高考的，视为自动放弃原入学机会，入学资格不再保留。</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（二）入伍新生被退回</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入伍新生在新兵检疫复查期间因身体原因被退回，可以持县级征兵办证明和学院录取通知书到学院办理入学手续。</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入伍新生入伍后因政治原因或拒绝服兵役被部队退回、服役期间受到除名或开除军籍处分的，或者被依法追究刑事责任的，学院将取消其入学资格。</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（三）入伍新生中途退役</w:t>
      </w:r>
    </w:p>
    <w:p>
      <w:pPr>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4"/>
        </w:rPr>
        <w:t>入伍新生因身体原因不宜继续在部队服役而中途退役，可以在退役当年</w:t>
      </w:r>
      <w:r>
        <w:rPr>
          <w:rFonts w:ascii="宋体" w:hAnsi="Calibri" w:eastAsia="宋体" w:cs="FangSong_GB2312 Identity H"/>
          <w:color w:val="auto"/>
          <w:kern w:val="0"/>
          <w:sz w:val="24"/>
          <w:szCs w:val="24"/>
        </w:rPr>
        <w:t>,</w:t>
      </w:r>
      <w:r>
        <w:rPr>
          <w:rFonts w:hint="eastAsia" w:ascii="宋体" w:hAnsi="宋体" w:eastAsia="宋体" w:cs="FangSong_GB2312 Identity H"/>
          <w:color w:val="auto"/>
          <w:kern w:val="0"/>
          <w:sz w:val="24"/>
          <w:szCs w:val="24"/>
        </w:rPr>
        <w:t>如错过当年入学期间，可以顺延</w:t>
      </w:r>
      <w:r>
        <w:rPr>
          <w:rFonts w:ascii="宋体" w:hAnsi="宋体" w:eastAsia="宋体" w:cs="FangSong_GB2312 Identity H"/>
          <w:color w:val="auto"/>
          <w:kern w:val="0"/>
          <w:sz w:val="24"/>
          <w:szCs w:val="24"/>
        </w:rPr>
        <w:t>1</w:t>
      </w:r>
      <w:r>
        <w:rPr>
          <w:rFonts w:hint="eastAsia" w:ascii="宋体" w:hAnsi="宋体" w:eastAsia="宋体" w:cs="FangSong_GB2312 Identity H"/>
          <w:color w:val="auto"/>
          <w:kern w:val="0"/>
          <w:sz w:val="24"/>
          <w:szCs w:val="24"/>
        </w:rPr>
        <w:t>年到学院办理入学。</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第八条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保留入学资格申请及手续应由本人前往学院办理，确因特殊情况不能前往亲自办理的，也可按照规定委托他人持委托书、证明材料及受委托人身份证代为办理。</w:t>
      </w:r>
    </w:p>
    <w:p>
      <w:pPr>
        <w:spacing w:line="360" w:lineRule="auto"/>
        <w:ind w:firstLine="482" w:firstLineChars="200"/>
        <w:rPr>
          <w:rFonts w:ascii="宋体" w:hAnsi="Calibri" w:eastAsia="宋体" w:cs="FangSong_GB2312 Identity H"/>
          <w:color w:val="auto"/>
          <w:kern w:val="0"/>
          <w:sz w:val="24"/>
          <w:szCs w:val="24"/>
        </w:rPr>
      </w:pPr>
      <w:r>
        <w:rPr>
          <w:rFonts w:hint="eastAsia" w:ascii="宋体" w:hAnsi="宋体" w:eastAsia="宋体" w:cs="FangSong_GB2312 Identity H"/>
          <w:b/>
          <w:color w:val="auto"/>
          <w:kern w:val="0"/>
          <w:sz w:val="24"/>
          <w:szCs w:val="24"/>
        </w:rPr>
        <w:t>第九条</w:t>
      </w:r>
      <w:r>
        <w:rPr>
          <w:rFonts w:ascii="宋体" w:hAnsi="宋体" w:eastAsia="宋体" w:cs="FangSong_GB2312 Identity H"/>
          <w:color w:val="auto"/>
          <w:kern w:val="0"/>
          <w:sz w:val="24"/>
          <w:szCs w:val="24"/>
        </w:rPr>
        <w:t xml:space="preserve">  </w:t>
      </w:r>
      <w:r>
        <w:rPr>
          <w:rFonts w:hint="eastAsia" w:ascii="宋体" w:hAnsi="宋体" w:eastAsia="宋体" w:cs="FangSong_GB2312 Identity H"/>
          <w:color w:val="auto"/>
          <w:kern w:val="0"/>
          <w:sz w:val="24"/>
          <w:szCs w:val="24"/>
        </w:rPr>
        <w:t>新生保留入学资格年限一般为</w:t>
      </w:r>
      <w:r>
        <w:rPr>
          <w:rFonts w:ascii="宋体" w:hAnsi="宋体" w:eastAsia="宋体" w:cs="FangSong_GB2312 Identity H"/>
          <w:color w:val="auto"/>
          <w:kern w:val="0"/>
          <w:sz w:val="24"/>
          <w:szCs w:val="24"/>
        </w:rPr>
        <w:t>1</w:t>
      </w:r>
      <w:r>
        <w:rPr>
          <w:rFonts w:hint="eastAsia" w:ascii="宋体" w:hAnsi="宋体" w:eastAsia="宋体" w:cs="FangSong_GB2312 Identity H"/>
          <w:color w:val="auto"/>
          <w:kern w:val="0"/>
          <w:sz w:val="24"/>
          <w:szCs w:val="24"/>
        </w:rPr>
        <w:t>年（除入伍新生外）。</w:t>
      </w:r>
    </w:p>
    <w:p>
      <w:pPr>
        <w:spacing w:line="360" w:lineRule="auto"/>
        <w:ind w:firstLine="480" w:firstLineChars="200"/>
        <w:rPr>
          <w:rFonts w:ascii="宋体" w:hAnsi="Calibri" w:eastAsia="宋体" w:cs="Times New Roman"/>
          <w:color w:val="auto"/>
          <w:sz w:val="24"/>
          <w:szCs w:val="21"/>
        </w:rPr>
      </w:pPr>
    </w:p>
    <w:p>
      <w:pPr>
        <w:spacing w:line="360" w:lineRule="auto"/>
        <w:ind w:firstLine="480" w:firstLineChars="200"/>
        <w:rPr>
          <w:rFonts w:ascii="宋体" w:hAnsi="Calibri" w:eastAsia="宋体" w:cs="Times New Roman"/>
          <w:color w:val="auto"/>
          <w:sz w:val="24"/>
          <w:szCs w:val="21"/>
        </w:rPr>
      </w:pPr>
    </w:p>
    <w:p>
      <w:pPr>
        <w:spacing w:line="360" w:lineRule="auto"/>
        <w:ind w:firstLine="480" w:firstLineChars="200"/>
        <w:rPr>
          <w:rFonts w:ascii="宋体" w:hAnsi="Calibri" w:eastAsia="宋体" w:cs="Times New Roman"/>
          <w:color w:val="auto"/>
          <w:sz w:val="24"/>
          <w:szCs w:val="24"/>
        </w:rPr>
      </w:pP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40" w:name="_Toc5795"/>
      <w:r>
        <w:rPr>
          <w:rFonts w:hint="eastAsia"/>
          <w:color w:val="auto"/>
        </w:rPr>
        <w:t>新生入学资格复查办法</w:t>
      </w:r>
      <w:bookmarkEnd w:id="40"/>
    </w:p>
    <w:p>
      <w:pPr>
        <w:snapToGrid w:val="0"/>
        <w:spacing w:line="360" w:lineRule="auto"/>
        <w:ind w:firstLine="480" w:firstLineChars="200"/>
        <w:rPr>
          <w:rFonts w:ascii="宋体" w:hAnsi="Calibri" w:eastAsia="宋体" w:cs="Times New Roman"/>
          <w:bCs/>
          <w:color w:val="auto"/>
          <w:sz w:val="24"/>
          <w:szCs w:val="21"/>
        </w:rPr>
      </w:pP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为切实维护学院招生工作的严谨性，保障广大考生的合法权益，确保学院人才培养，促进学院持续、稳定和健康发展，特制定本办法。</w:t>
      </w:r>
    </w:p>
    <w:p>
      <w:pPr>
        <w:snapToGrid w:val="0"/>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第一条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新生复查工作由学生处组织实施，会同</w:t>
      </w:r>
      <w:r>
        <w:rPr>
          <w:rFonts w:hint="eastAsia" w:ascii="宋体" w:hAnsi="宋体" w:eastAsia="宋体" w:cs="Times New Roman"/>
          <w:bCs/>
          <w:color w:val="auto"/>
          <w:sz w:val="24"/>
          <w:szCs w:val="21"/>
          <w:lang w:eastAsia="zh-CN"/>
        </w:rPr>
        <w:t>教务部</w:t>
      </w:r>
      <w:r>
        <w:rPr>
          <w:rFonts w:hint="eastAsia" w:ascii="宋体" w:hAnsi="宋体" w:eastAsia="宋体" w:cs="Times New Roman"/>
          <w:bCs/>
          <w:color w:val="auto"/>
          <w:sz w:val="24"/>
          <w:szCs w:val="21"/>
        </w:rPr>
        <w:t>、总务处、保卫处、门诊部、各</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在新生报到入学后二个月内，按照有关规定共同进行新生入学资格复查。</w:t>
      </w:r>
    </w:p>
    <w:p>
      <w:pPr>
        <w:snapToGrid w:val="0"/>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第二条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复查工作的主要内容</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（一）身份复查</w:t>
      </w:r>
    </w:p>
    <w:p>
      <w:pPr>
        <w:snapToGrid w:val="0"/>
        <w:spacing w:line="360" w:lineRule="auto"/>
        <w:ind w:firstLine="480" w:firstLineChars="200"/>
        <w:rPr>
          <w:rFonts w:ascii="宋体" w:hAnsi="Calibri" w:eastAsia="宋体" w:cs="Times New Roman"/>
          <w:bCs/>
          <w:color w:val="auto"/>
          <w:sz w:val="24"/>
          <w:szCs w:val="21"/>
        </w:rPr>
      </w:pPr>
      <w:r>
        <w:rPr>
          <w:rFonts w:ascii="宋体" w:hAnsi="宋体" w:eastAsia="宋体" w:cs="Times New Roman"/>
          <w:bCs/>
          <w:color w:val="auto"/>
          <w:sz w:val="24"/>
          <w:szCs w:val="21"/>
        </w:rPr>
        <w:t>1.</w:t>
      </w:r>
      <w:r>
        <w:rPr>
          <w:rFonts w:hint="eastAsia" w:ascii="宋体" w:hAnsi="宋体" w:eastAsia="宋体" w:cs="Times New Roman"/>
          <w:bCs/>
          <w:color w:val="auto"/>
          <w:sz w:val="24"/>
          <w:szCs w:val="21"/>
        </w:rPr>
        <w:t>集中对新生的电子档案、录取通知书、高考准考证、身份证、新生档案与新生本人实行对照复查。同时查看新生档案中的高考报名表、体检表、党团</w:t>
      </w:r>
      <w:r>
        <w:rPr>
          <w:rFonts w:hint="eastAsia" w:ascii="宋体" w:hAnsi="宋体" w:eastAsia="宋体" w:cs="Times New Roman"/>
          <w:bCs/>
          <w:color w:val="auto"/>
          <w:sz w:val="24"/>
          <w:szCs w:val="21"/>
          <w:lang w:eastAsia="zh-CN"/>
        </w:rPr>
        <w:t>关系</w:t>
      </w:r>
      <w:r>
        <w:rPr>
          <w:rFonts w:hint="eastAsia" w:ascii="宋体" w:hAnsi="宋体" w:eastAsia="宋体" w:cs="Times New Roman"/>
          <w:bCs/>
          <w:color w:val="auto"/>
          <w:sz w:val="24"/>
          <w:szCs w:val="21"/>
        </w:rPr>
        <w:t>材料中所载信息、照片与录取新生电子档案信息逐一核对。</w:t>
      </w:r>
    </w:p>
    <w:p>
      <w:pPr>
        <w:snapToGrid w:val="0"/>
        <w:spacing w:line="360" w:lineRule="auto"/>
        <w:ind w:firstLine="480" w:firstLineChars="200"/>
        <w:rPr>
          <w:rFonts w:ascii="宋体" w:hAnsi="Calibri" w:eastAsia="宋体" w:cs="Times New Roman"/>
          <w:bCs/>
          <w:color w:val="auto"/>
          <w:sz w:val="24"/>
          <w:szCs w:val="21"/>
        </w:rPr>
      </w:pPr>
      <w:r>
        <w:rPr>
          <w:rFonts w:ascii="宋体" w:hAnsi="宋体" w:eastAsia="宋体" w:cs="Times New Roman"/>
          <w:bCs/>
          <w:color w:val="auto"/>
          <w:sz w:val="24"/>
          <w:szCs w:val="21"/>
        </w:rPr>
        <w:t>2.</w:t>
      </w:r>
      <w:r>
        <w:rPr>
          <w:rFonts w:hint="eastAsia" w:ascii="宋体" w:hAnsi="宋体" w:eastAsia="宋体" w:cs="Times New Roman"/>
          <w:bCs/>
          <w:color w:val="auto"/>
          <w:sz w:val="24"/>
          <w:szCs w:val="21"/>
        </w:rPr>
        <w:t>对于高考加分的考生，要求其必须提供高考加分资格证明等材料；各</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必须仔细核验。</w:t>
      </w:r>
    </w:p>
    <w:p>
      <w:pPr>
        <w:snapToGrid w:val="0"/>
        <w:spacing w:line="360" w:lineRule="auto"/>
        <w:ind w:firstLine="480" w:firstLineChars="200"/>
        <w:rPr>
          <w:rFonts w:ascii="宋体" w:hAnsi="Calibri" w:eastAsia="宋体" w:cs="Times New Roman"/>
          <w:bCs/>
          <w:color w:val="auto"/>
          <w:sz w:val="24"/>
          <w:szCs w:val="21"/>
        </w:rPr>
      </w:pPr>
      <w:r>
        <w:rPr>
          <w:rFonts w:ascii="宋体" w:hAnsi="宋体" w:eastAsia="宋体" w:cs="Times New Roman"/>
          <w:bCs/>
          <w:color w:val="auto"/>
          <w:sz w:val="24"/>
          <w:szCs w:val="21"/>
        </w:rPr>
        <w:t>3.</w:t>
      </w:r>
      <w:r>
        <w:rPr>
          <w:rFonts w:hint="eastAsia" w:ascii="宋体" w:hAnsi="宋体" w:eastAsia="宋体" w:cs="Times New Roman"/>
          <w:bCs/>
          <w:color w:val="auto"/>
          <w:sz w:val="24"/>
          <w:szCs w:val="21"/>
        </w:rPr>
        <w:t>对于延期报到的学生，各</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应注意重点复查。</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（二）体检复查</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新生体检复查由学院门诊部具体负责。根据《普通高等学校招生体检工作指导意见》对全体新生进行全面体检复查，并与高考体检表进行比较。</w:t>
      </w:r>
    </w:p>
    <w:p>
      <w:pPr>
        <w:snapToGrid w:val="0"/>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第三条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复查程序</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（一）新生身份复查以班级为单位进行复查，由各新生班班主任、各</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学生管理人员、学生处招生和学籍管理人员对新生逐一核查，查看新生证件以及新生照片，是否与考生的电子档案相符合，并和录取考生名册、纸质档案进行仔细核对，对有不确定者将与新生本人进一步面谈确认信息。各班级复查结束后由学生本人在新生入学资格审查表上签名确认，辅导员、</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领导在审查表上签名确认并形成复查报告，并将复查结果和复查报告交学生处。</w:t>
      </w:r>
      <w:r>
        <w:rPr>
          <w:rFonts w:ascii="宋体" w:hAnsi="宋体" w:eastAsia="宋体" w:cs="Times New Roman"/>
          <w:bCs/>
          <w:color w:val="auto"/>
          <w:sz w:val="24"/>
          <w:szCs w:val="21"/>
        </w:rPr>
        <w:t xml:space="preserve"> </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（二）新生入学后由门诊部安排体检，体检复查中发现有严重疾病、不符合专业录取要求的，门诊部应如实写出复查报告，并按照有关规定提出初步处理意见，形成书面材料报送学生处。</w:t>
      </w:r>
    </w:p>
    <w:p>
      <w:pPr>
        <w:snapToGrid w:val="0"/>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第四条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复查结果及处理</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（一）复查合格者予以注册，取得学籍。</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（二）对于新生入学资格复查中发现的异常情况，报学生处对其进一步核查。复查不合格者，形成有关问询材料和处理意见，同时报学院领导审批，按照国家和学院的有关规定予以处理。</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（三）复查中发现学生弄虚作假、徇私舞弊等情形的，确定为复查不合格，取消学籍；情节严重的，学院将有关材料已交上级部门调查处理。</w:t>
      </w:r>
    </w:p>
    <w:p>
      <w:pPr>
        <w:snapToGrid w:val="0"/>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（四）复查中发现学生身心状况不适宜在院学习，经学院指定的二级甲等以上医院诊断，需要休养的，按照《</w:t>
      </w:r>
      <w:r>
        <w:rPr>
          <w:rStyle w:val="35"/>
          <w:rFonts w:hint="eastAsia" w:eastAsia="宋体" w:cs="Times New Roman"/>
          <w:color w:val="auto"/>
          <w:sz w:val="24"/>
          <w:szCs w:val="24"/>
        </w:rPr>
        <w:t>广东江门中医药职业学院新生保留入学资格办法</w:t>
      </w:r>
      <w:r>
        <w:rPr>
          <w:rFonts w:hint="eastAsia" w:ascii="宋体" w:hAnsi="宋体" w:eastAsia="宋体" w:cs="Times New Roman"/>
          <w:bCs/>
          <w:color w:val="auto"/>
          <w:sz w:val="24"/>
          <w:szCs w:val="21"/>
        </w:rPr>
        <w:t>》处理。</w:t>
      </w:r>
    </w:p>
    <w:p>
      <w:pPr>
        <w:widowControl/>
        <w:jc w:val="left"/>
        <w:rPr>
          <w:rFonts w:ascii="Cambria" w:hAnsi="Cambria" w:eastAsia="宋体" w:cs="Times New Roman"/>
          <w:b/>
          <w:bCs/>
          <w:color w:val="auto"/>
          <w:kern w:val="28"/>
          <w:sz w:val="32"/>
          <w:szCs w:val="32"/>
        </w:rPr>
      </w:pPr>
      <w:r>
        <w:rPr>
          <w:rFonts w:ascii="Calibri" w:hAnsi="Calibri" w:eastAsia="宋体" w:cs="Times New Roman"/>
          <w:color w:val="auto"/>
        </w:rPr>
        <w:br w:type="page"/>
      </w:r>
    </w:p>
    <w:p>
      <w:pPr>
        <w:pStyle w:val="3"/>
        <w:bidi w:val="0"/>
        <w:jc w:val="center"/>
        <w:rPr>
          <w:color w:val="auto"/>
        </w:rPr>
      </w:pPr>
      <w:bookmarkStart w:id="41" w:name="_Toc25736"/>
      <w:r>
        <w:rPr>
          <w:rFonts w:hint="eastAsia"/>
          <w:color w:val="auto"/>
        </w:rPr>
        <w:t>休学与复学管理办法</w:t>
      </w:r>
      <w:bookmarkEnd w:id="41"/>
    </w:p>
    <w:p>
      <w:pPr>
        <w:snapToGrid w:val="0"/>
        <w:spacing w:line="360" w:lineRule="auto"/>
        <w:ind w:firstLine="480" w:firstLineChars="200"/>
        <w:rPr>
          <w:rFonts w:ascii="宋体" w:hAnsi="Calibri" w:eastAsia="宋体" w:cs="Times New Roman"/>
          <w:color w:val="auto"/>
          <w:sz w:val="24"/>
          <w:szCs w:val="21"/>
        </w:rPr>
      </w:pP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根据《普通高等学校学生管理规定》，结合学院实际，完善学籍管理制度，规范学院休学与复学管理，特制定本办法。</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第一条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学院学制为三年制，学生可以分阶段完成学业，但在校学习的最长学习年限不得超过五年，学生申请休学或学院认为应当休学的，经学院批准，可以休学。</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第二条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学生有下列情形之一者，应办理休学手续：</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（一）因伤、病经二级甲等以上医院诊断，需停课治疗、休养时间超过一学期总学时三分之一以上者；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（二）根据考勤记录，一学期请假、缺勤累计超过该学期总学时三分之一者；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（三）因特殊原因，经本人提出申请或学院认为可以休学者；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（四）应征入伍义务服兵役者。</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第三条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学生休学期限一般为一年，因特殊情况，经学院批准可连续休学，累计休学年限不得超过两年。</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第四条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新生和在校生应征参加中国人民解放军</w:t>
      </w:r>
      <w:r>
        <w:rPr>
          <w:rFonts w:ascii="宋体" w:hAnsi="宋体" w:eastAsia="宋体" w:cs="Times New Roman"/>
          <w:color w:val="auto"/>
          <w:sz w:val="24"/>
          <w:szCs w:val="21"/>
        </w:rPr>
        <w:t>(</w:t>
      </w:r>
      <w:r>
        <w:rPr>
          <w:rFonts w:hint="eastAsia" w:ascii="宋体" w:hAnsi="宋体" w:eastAsia="宋体" w:cs="Times New Roman"/>
          <w:color w:val="auto"/>
          <w:sz w:val="24"/>
          <w:szCs w:val="21"/>
        </w:rPr>
        <w:t>含中国人民武装警察部队</w:t>
      </w:r>
      <w:r>
        <w:rPr>
          <w:rFonts w:ascii="宋体" w:hAnsi="宋体" w:eastAsia="宋体" w:cs="Times New Roman"/>
          <w:color w:val="auto"/>
          <w:sz w:val="24"/>
          <w:szCs w:val="21"/>
        </w:rPr>
        <w:t>)</w:t>
      </w:r>
      <w:r>
        <w:rPr>
          <w:rFonts w:hint="eastAsia" w:ascii="宋体" w:hAnsi="宋体" w:eastAsia="宋体" w:cs="Times New Roman"/>
          <w:color w:val="auto"/>
          <w:sz w:val="24"/>
          <w:szCs w:val="21"/>
        </w:rPr>
        <w:t>，学院保留其入学资格或者学籍至退役后</w:t>
      </w:r>
      <w:r>
        <w:rPr>
          <w:rFonts w:ascii="宋体" w:hAnsi="宋体" w:eastAsia="宋体" w:cs="Times New Roman"/>
          <w:color w:val="auto"/>
          <w:sz w:val="24"/>
          <w:szCs w:val="21"/>
        </w:rPr>
        <w:t>2</w:t>
      </w:r>
      <w:r>
        <w:rPr>
          <w:rFonts w:hint="eastAsia" w:ascii="宋体" w:hAnsi="宋体" w:eastAsia="宋体" w:cs="Times New Roman"/>
          <w:color w:val="auto"/>
          <w:sz w:val="24"/>
          <w:szCs w:val="21"/>
        </w:rPr>
        <w:t>年。</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第五条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学生要求休学，应向本</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提出书面申请，并附相关证明材料（医疗证明、入伍通知书等），经所在</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领导审核，报</w:t>
      </w:r>
      <w:r>
        <w:rPr>
          <w:rFonts w:hint="eastAsia" w:ascii="宋体" w:hAnsi="宋体" w:eastAsia="宋体" w:cs="Times New Roman"/>
          <w:color w:val="auto"/>
          <w:sz w:val="24"/>
          <w:szCs w:val="21"/>
          <w:lang w:eastAsia="zh-CN"/>
        </w:rPr>
        <w:t>教务部</w:t>
      </w:r>
      <w:r>
        <w:rPr>
          <w:rFonts w:hint="eastAsia" w:ascii="宋体" w:hAnsi="宋体" w:eastAsia="宋体" w:cs="Times New Roman"/>
          <w:color w:val="auto"/>
          <w:sz w:val="24"/>
          <w:szCs w:val="21"/>
        </w:rPr>
        <w:t>审批备案，填写《广东江门中医药职业学院学生学籍变动审批表》，方可办理休学手续离校。</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第六条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学生休学期间不得住在学院，也不准随班听课或参加考试，不得提前复学。</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第七条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休学学生的有关问题，按下列规定办理：</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（一）休学的学生按要求办理休学手续离校，予以保留学籍；</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（二）学生休学期间，不享受在校学生的待遇；</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（三）因病休学的学生，病休期间的医疗费用按有关医保规定执行；</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（四）休学期间所发生的一切行为由学生自己负责；</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（五）学生休学回家，往返路费自理。</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（六）学生休学期间不得办理转学或报考其他学校的相关手续。</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第八条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学生复学按下列要求到</w:t>
      </w:r>
      <w:r>
        <w:rPr>
          <w:rFonts w:hint="eastAsia" w:ascii="宋体" w:hAnsi="宋体" w:eastAsia="宋体" w:cs="Times New Roman"/>
          <w:color w:val="auto"/>
          <w:sz w:val="24"/>
          <w:szCs w:val="21"/>
          <w:lang w:eastAsia="zh-CN"/>
        </w:rPr>
        <w:t>教务部</w:t>
      </w:r>
      <w:r>
        <w:rPr>
          <w:rFonts w:hint="eastAsia" w:ascii="宋体" w:hAnsi="宋体" w:eastAsia="宋体" w:cs="Times New Roman"/>
          <w:color w:val="auto"/>
          <w:sz w:val="24"/>
          <w:szCs w:val="21"/>
        </w:rPr>
        <w:t>办理手续：</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（一）因伤、病休学的学生休学期满，应在学期开学两周内向所在</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提交书面申请，持指定二级甲等以上医院的诊断证明，证明已恢复健康，并经学院门诊部复查合格，填写《广东江门中医药职业学院学生学籍变动审批表》，报</w:t>
      </w:r>
      <w:r>
        <w:rPr>
          <w:rFonts w:hint="eastAsia" w:ascii="宋体" w:hAnsi="宋体" w:eastAsia="宋体" w:cs="Times New Roman"/>
          <w:color w:val="auto"/>
          <w:sz w:val="24"/>
          <w:szCs w:val="21"/>
          <w:lang w:eastAsia="zh-CN"/>
        </w:rPr>
        <w:t>教务部</w:t>
      </w:r>
      <w:r>
        <w:rPr>
          <w:rFonts w:hint="eastAsia" w:ascii="宋体" w:hAnsi="宋体" w:eastAsia="宋体" w:cs="Times New Roman"/>
          <w:color w:val="auto"/>
          <w:sz w:val="24"/>
          <w:szCs w:val="21"/>
        </w:rPr>
        <w:t>审批备案，予以注册；复查不合格者，应继续休学或退学。</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（二）学生休学期满，应于学期开学两周内持相关证明材料，向所在</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提交书面申请，经</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领导审核，填写《广东江门中医药职业学院学生学籍变动审批表》，报</w:t>
      </w:r>
      <w:r>
        <w:rPr>
          <w:rFonts w:hint="eastAsia" w:ascii="宋体" w:hAnsi="宋体" w:eastAsia="宋体" w:cs="Times New Roman"/>
          <w:color w:val="auto"/>
          <w:sz w:val="24"/>
          <w:szCs w:val="21"/>
          <w:lang w:eastAsia="zh-CN"/>
        </w:rPr>
        <w:t>教务部</w:t>
      </w:r>
      <w:r>
        <w:rPr>
          <w:rFonts w:hint="eastAsia" w:ascii="宋体" w:hAnsi="宋体" w:eastAsia="宋体" w:cs="Times New Roman"/>
          <w:color w:val="auto"/>
          <w:sz w:val="24"/>
          <w:szCs w:val="21"/>
        </w:rPr>
        <w:t>审批备案，予以注册。</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（三）学生在休学期间，有严重违法违纪行为者，取消复学资格。</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（四）复学学生原则上跟原专业相衔接的年级学习。</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（五）复学学生的缴费标准与其复学后就读的专业同年级学生相同。</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（六）学生休学期满后，逾期不办理复学申请手续者，将作自动退学处理。</w:t>
      </w:r>
    </w:p>
    <w:p>
      <w:pPr>
        <w:snapToGrid w:val="0"/>
        <w:spacing w:line="360" w:lineRule="auto"/>
        <w:ind w:firstLine="480" w:firstLineChars="200"/>
        <w:rPr>
          <w:rFonts w:ascii="宋体" w:hAnsi="Calibri" w:eastAsia="宋体" w:cs="Times New Roman"/>
          <w:color w:val="auto"/>
          <w:sz w:val="24"/>
          <w:szCs w:val="21"/>
        </w:rPr>
      </w:pPr>
    </w:p>
    <w:p>
      <w:pPr>
        <w:spacing w:line="360" w:lineRule="auto"/>
        <w:ind w:firstLine="480" w:firstLineChars="200"/>
        <w:rPr>
          <w:rFonts w:ascii="宋体" w:hAnsi="Calibri" w:eastAsia="宋体" w:cs="Times New Roman"/>
          <w:color w:val="auto"/>
          <w:sz w:val="24"/>
          <w:szCs w:val="21"/>
        </w:rPr>
      </w:pPr>
    </w:p>
    <w:p>
      <w:pPr>
        <w:spacing w:line="360" w:lineRule="auto"/>
        <w:ind w:firstLine="420" w:firstLineChars="200"/>
        <w:rPr>
          <w:rFonts w:ascii="Calibri" w:hAnsi="Calibri" w:eastAsia="宋体" w:cs="Times New Roman"/>
          <w:color w:val="auto"/>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p>
    <w:p>
      <w:pPr>
        <w:pStyle w:val="3"/>
        <w:bidi w:val="0"/>
        <w:jc w:val="center"/>
        <w:rPr>
          <w:color w:val="auto"/>
        </w:rPr>
      </w:pPr>
      <w:bookmarkStart w:id="42" w:name="_Toc12954"/>
      <w:r>
        <w:rPr>
          <w:rFonts w:hint="eastAsia"/>
          <w:color w:val="auto"/>
        </w:rPr>
        <w:t>学生退学管理办法</w:t>
      </w:r>
      <w:bookmarkEnd w:id="42"/>
    </w:p>
    <w:p>
      <w:pPr>
        <w:snapToGrid w:val="0"/>
        <w:spacing w:line="360" w:lineRule="auto"/>
        <w:ind w:firstLine="480" w:firstLineChars="200"/>
        <w:rPr>
          <w:rFonts w:ascii="宋体" w:hAnsi="Calibri" w:eastAsia="宋体" w:cs="Times New Roman"/>
          <w:bCs/>
          <w:color w:val="auto"/>
          <w:sz w:val="24"/>
          <w:szCs w:val="21"/>
        </w:rPr>
      </w:pP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bCs/>
          <w:color w:val="auto"/>
          <w:sz w:val="24"/>
          <w:szCs w:val="21"/>
        </w:rPr>
        <w:t>根</w:t>
      </w:r>
      <w:r>
        <w:rPr>
          <w:rFonts w:hint="eastAsia" w:ascii="宋体" w:hAnsi="宋体" w:eastAsia="宋体" w:cs="Times New Roman"/>
          <w:color w:val="auto"/>
          <w:sz w:val="24"/>
          <w:szCs w:val="21"/>
        </w:rPr>
        <w:t>据《普通高等学校学生管理规定》，结合学院实际，完善学籍管理制度，规范学院退学管理，特制定本办法。</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第一条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学生有下列情况之一者，学院可予以退学处理：</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（一）学生本人申请退学，经说服无效者；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（二）</w:t>
      </w:r>
      <w:r>
        <w:rPr>
          <w:rFonts w:hint="eastAsia" w:ascii="宋体" w:hAnsi="宋体" w:eastAsia="宋体" w:cs="仿宋_GB2312"/>
          <w:color w:val="auto"/>
          <w:kern w:val="0"/>
          <w:sz w:val="24"/>
          <w:szCs w:val="21"/>
        </w:rPr>
        <w:t>在学院规定的在校最长年限内（含休学）未完成学业者；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（三）休学、保留学籍期满，在学院规定期限内未提出复学申请或者申请复学经复查不及格的；</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（四）因病休学期满经复查不合格者；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（五）一学期无故旷课超过总学时三分之一，或缺考四门课程者；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（六）根据学院指定二级甲等以上医院确诊，患有疾病或者意外伤残不能继续在院学习者；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（七）未经请假连续两周不参加学院规定的教学活动者；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仿宋_GB2312"/>
          <w:color w:val="auto"/>
          <w:kern w:val="0"/>
          <w:sz w:val="24"/>
          <w:szCs w:val="21"/>
        </w:rPr>
        <w:t>（八）超过学院规定期限未注册而又未履行暂缓注册手续的；</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（九）触犯刑法被处劳动教养或判刑者；</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（十）因其它特殊情况，学院认为必须退学者。</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bCs/>
          <w:color w:val="auto"/>
          <w:sz w:val="24"/>
          <w:szCs w:val="21"/>
        </w:rPr>
        <w:t>第二条</w:t>
      </w:r>
      <w:r>
        <w:rPr>
          <w:rFonts w:ascii="宋体" w:hAnsi="宋体" w:eastAsia="宋体" w:cs="Times New Roman"/>
          <w:b/>
          <w:bCs/>
          <w:color w:val="auto"/>
          <w:sz w:val="24"/>
          <w:szCs w:val="21"/>
        </w:rPr>
        <w:t xml:space="preserve">  </w:t>
      </w:r>
      <w:r>
        <w:rPr>
          <w:rFonts w:hint="eastAsia" w:ascii="宋体" w:hAnsi="宋体" w:eastAsia="宋体" w:cs="Times New Roman"/>
          <w:color w:val="auto"/>
          <w:sz w:val="24"/>
          <w:szCs w:val="21"/>
        </w:rPr>
        <w:t>学生本人自动申请退学的，由学生本人提出，家长或监护人同意，经学院审核同意，可办理退学手续。其他的退学处理由所在</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提出，经</w:t>
      </w:r>
      <w:r>
        <w:rPr>
          <w:rFonts w:hint="eastAsia" w:ascii="宋体" w:hAnsi="宋体" w:eastAsia="宋体" w:cs="Times New Roman"/>
          <w:color w:val="auto"/>
          <w:sz w:val="24"/>
          <w:szCs w:val="21"/>
          <w:lang w:eastAsia="zh-CN"/>
        </w:rPr>
        <w:t>教务部</w:t>
      </w:r>
      <w:r>
        <w:rPr>
          <w:rFonts w:hint="eastAsia" w:ascii="宋体" w:hAnsi="宋体" w:eastAsia="宋体" w:cs="Times New Roman"/>
          <w:color w:val="auto"/>
          <w:sz w:val="24"/>
          <w:szCs w:val="21"/>
        </w:rPr>
        <w:t>会同有关部门审核，报院长办公会议研究决定。</w:t>
      </w:r>
    </w:p>
    <w:p>
      <w:pPr>
        <w:snapToGrid w:val="0"/>
        <w:spacing w:line="360" w:lineRule="auto"/>
        <w:ind w:firstLine="480" w:firstLineChars="200"/>
        <w:rPr>
          <w:rFonts w:ascii="宋体" w:hAnsi="Calibri" w:eastAsia="宋体" w:cs="Times New Roman"/>
          <w:b/>
          <w:bCs/>
          <w:color w:val="auto"/>
          <w:sz w:val="24"/>
          <w:szCs w:val="21"/>
        </w:rPr>
      </w:pPr>
      <w:r>
        <w:rPr>
          <w:rFonts w:hint="eastAsia" w:ascii="宋体" w:hAnsi="宋体" w:eastAsia="宋体" w:cs="Times New Roman"/>
          <w:color w:val="auto"/>
          <w:sz w:val="24"/>
          <w:szCs w:val="21"/>
        </w:rPr>
        <w:t>对退学的学生由学院出具退学决定书并由所在</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负责送交学生本人，按规定办理退学手续离院。</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第三条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退学学生必须一周内办清手续离院。</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第四条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取消学籍或因各种原因退学的学生，均不得申请复学。</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第五条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退学学生收到退学决定书后，按下列规定办理离院手续：</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（一）学生本人填写《广东江门中医药职业学院学生学籍变动审批表》说明理由并签字，家长签字、辅导员签字、</w:t>
      </w:r>
      <w:r>
        <w:rPr>
          <w:rFonts w:hint="eastAsia" w:ascii="宋体" w:hAnsi="宋体" w:eastAsia="宋体" w:cs="Times New Roman"/>
          <w:color w:val="auto"/>
          <w:sz w:val="24"/>
          <w:szCs w:val="21"/>
          <w:lang w:eastAsia="zh-CN"/>
        </w:rPr>
        <w:t>二级学院</w:t>
      </w:r>
      <w:r>
        <w:rPr>
          <w:rFonts w:hint="eastAsia" w:ascii="宋体" w:hAnsi="宋体" w:eastAsia="宋体" w:cs="Times New Roman"/>
          <w:color w:val="auto"/>
          <w:sz w:val="24"/>
          <w:szCs w:val="21"/>
        </w:rPr>
        <w:t>领导签字、学籍管理部门领导签字、院领导签字；</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（二）持《广东江门中医药职业学院学生办理退学离校手续登记表》到有关部门办理离院手续：</w:t>
      </w:r>
    </w:p>
    <w:p>
      <w:pPr>
        <w:snapToGrid w:val="0"/>
        <w:spacing w:line="360" w:lineRule="auto"/>
        <w:ind w:firstLine="480" w:firstLineChars="200"/>
        <w:rPr>
          <w:rFonts w:ascii="宋体" w:hAnsi="Calibri" w:eastAsia="宋体" w:cs="Times New Roman"/>
          <w:color w:val="auto"/>
          <w:sz w:val="24"/>
          <w:szCs w:val="21"/>
        </w:rPr>
      </w:pPr>
      <w:r>
        <w:rPr>
          <w:rFonts w:ascii="宋体" w:hAnsi="宋体" w:eastAsia="宋体" w:cs="Times New Roman"/>
          <w:color w:val="auto"/>
          <w:sz w:val="24"/>
          <w:szCs w:val="21"/>
        </w:rPr>
        <w:t>1.</w:t>
      </w:r>
      <w:r>
        <w:rPr>
          <w:rFonts w:hint="eastAsia" w:ascii="宋体" w:hAnsi="宋体" w:eastAsia="宋体" w:cs="Times New Roman"/>
          <w:color w:val="auto"/>
          <w:sz w:val="24"/>
          <w:szCs w:val="21"/>
        </w:rPr>
        <w:t>到</w:t>
      </w:r>
      <w:r>
        <w:rPr>
          <w:rFonts w:hint="eastAsia" w:ascii="宋体" w:hAnsi="宋体" w:eastAsia="宋体" w:cs="Times New Roman"/>
          <w:color w:val="auto"/>
          <w:sz w:val="24"/>
          <w:szCs w:val="21"/>
          <w:lang w:eastAsia="zh-CN"/>
        </w:rPr>
        <w:t>财务部</w:t>
      </w:r>
      <w:r>
        <w:rPr>
          <w:rFonts w:hint="eastAsia" w:ascii="宋体" w:hAnsi="宋体" w:eastAsia="宋体" w:cs="Times New Roman"/>
          <w:color w:val="auto"/>
          <w:sz w:val="24"/>
          <w:szCs w:val="21"/>
        </w:rPr>
        <w:t>核对学费、住宿费、书费及其他费用，是否有欠费，负责人签名确认；如有欠费必须缴清方可离校；</w:t>
      </w:r>
    </w:p>
    <w:p>
      <w:pPr>
        <w:snapToGrid w:val="0"/>
        <w:spacing w:line="360" w:lineRule="auto"/>
        <w:ind w:firstLine="480" w:firstLineChars="200"/>
        <w:rPr>
          <w:rFonts w:ascii="宋体" w:hAnsi="Calibri" w:eastAsia="宋体" w:cs="Times New Roman"/>
          <w:color w:val="auto"/>
          <w:sz w:val="24"/>
          <w:szCs w:val="21"/>
        </w:rPr>
      </w:pPr>
      <w:r>
        <w:rPr>
          <w:rFonts w:ascii="宋体" w:hAnsi="宋体" w:eastAsia="宋体" w:cs="Times New Roman"/>
          <w:color w:val="auto"/>
          <w:sz w:val="24"/>
          <w:szCs w:val="21"/>
        </w:rPr>
        <w:t>2.</w:t>
      </w:r>
      <w:r>
        <w:rPr>
          <w:rFonts w:hint="eastAsia" w:ascii="宋体" w:hAnsi="宋体" w:eastAsia="宋体" w:cs="Times New Roman"/>
          <w:color w:val="auto"/>
          <w:sz w:val="24"/>
          <w:szCs w:val="21"/>
        </w:rPr>
        <w:t>到图书馆核查是否有未归还书籍，负责人签名确认；</w:t>
      </w:r>
    </w:p>
    <w:p>
      <w:pPr>
        <w:snapToGrid w:val="0"/>
        <w:spacing w:line="360" w:lineRule="auto"/>
        <w:ind w:firstLine="480" w:firstLineChars="200"/>
        <w:rPr>
          <w:rFonts w:ascii="宋体" w:hAnsi="Calibri" w:eastAsia="宋体" w:cs="Times New Roman"/>
          <w:color w:val="auto"/>
          <w:sz w:val="24"/>
          <w:szCs w:val="21"/>
        </w:rPr>
      </w:pPr>
      <w:r>
        <w:rPr>
          <w:rFonts w:ascii="宋体" w:hAnsi="宋体" w:eastAsia="宋体" w:cs="Times New Roman"/>
          <w:color w:val="auto"/>
          <w:sz w:val="24"/>
          <w:szCs w:val="21"/>
        </w:rPr>
        <w:t>3.</w:t>
      </w:r>
      <w:r>
        <w:rPr>
          <w:rFonts w:hint="eastAsia" w:ascii="宋体" w:hAnsi="宋体" w:eastAsia="宋体" w:cs="Times New Roman"/>
          <w:color w:val="auto"/>
          <w:sz w:val="24"/>
          <w:szCs w:val="21"/>
        </w:rPr>
        <w:t>到宿舍管理中心办理退宿手续，检查床位是否有损坏，个人物品是否清理完毕并交还宿舍钥匙，负责人签名确认；</w:t>
      </w:r>
    </w:p>
    <w:p>
      <w:pPr>
        <w:snapToGrid w:val="0"/>
        <w:spacing w:line="360" w:lineRule="auto"/>
        <w:ind w:firstLine="480" w:firstLineChars="200"/>
        <w:rPr>
          <w:rFonts w:ascii="宋体" w:hAnsi="Calibri" w:eastAsia="宋体" w:cs="Times New Roman"/>
          <w:color w:val="auto"/>
          <w:sz w:val="24"/>
          <w:szCs w:val="21"/>
        </w:rPr>
      </w:pPr>
      <w:r>
        <w:rPr>
          <w:rFonts w:ascii="宋体" w:hAnsi="宋体" w:eastAsia="宋体" w:cs="Times New Roman"/>
          <w:color w:val="auto"/>
          <w:sz w:val="24"/>
          <w:szCs w:val="21"/>
        </w:rPr>
        <w:t>4.</w:t>
      </w:r>
      <w:r>
        <w:rPr>
          <w:rFonts w:hint="eastAsia" w:ascii="宋体" w:hAnsi="宋体" w:eastAsia="宋体" w:cs="Times New Roman"/>
          <w:color w:val="auto"/>
          <w:sz w:val="24"/>
          <w:szCs w:val="21"/>
        </w:rPr>
        <w:t>团委办理团组织</w:t>
      </w:r>
      <w:r>
        <w:rPr>
          <w:rFonts w:hint="eastAsia" w:ascii="宋体" w:hAnsi="宋体" w:eastAsia="宋体" w:cs="Times New Roman"/>
          <w:color w:val="auto"/>
          <w:sz w:val="24"/>
          <w:szCs w:val="21"/>
          <w:lang w:eastAsia="zh-CN"/>
        </w:rPr>
        <w:t>关系</w:t>
      </w:r>
      <w:r>
        <w:rPr>
          <w:rFonts w:hint="eastAsia" w:ascii="宋体" w:hAnsi="宋体" w:eastAsia="宋体" w:cs="Times New Roman"/>
          <w:color w:val="auto"/>
          <w:sz w:val="24"/>
          <w:szCs w:val="21"/>
        </w:rPr>
        <w:t>转出；</w:t>
      </w:r>
    </w:p>
    <w:p>
      <w:pPr>
        <w:snapToGrid w:val="0"/>
        <w:spacing w:line="360" w:lineRule="auto"/>
        <w:ind w:firstLine="480" w:firstLineChars="200"/>
        <w:rPr>
          <w:rFonts w:ascii="宋体" w:hAnsi="Calibri" w:eastAsia="宋体" w:cs="Times New Roman"/>
          <w:color w:val="auto"/>
          <w:sz w:val="24"/>
          <w:szCs w:val="21"/>
        </w:rPr>
      </w:pPr>
      <w:r>
        <w:rPr>
          <w:rFonts w:ascii="宋体" w:hAnsi="宋体" w:eastAsia="宋体" w:cs="Times New Roman"/>
          <w:color w:val="auto"/>
          <w:sz w:val="24"/>
          <w:szCs w:val="21"/>
        </w:rPr>
        <w:t>5</w:t>
      </w:r>
      <w:r>
        <w:rPr>
          <w:rFonts w:hint="eastAsia" w:ascii="宋体" w:hAnsi="宋体" w:eastAsia="宋体" w:cs="Times New Roman"/>
          <w:color w:val="auto"/>
          <w:sz w:val="24"/>
          <w:szCs w:val="21"/>
        </w:rPr>
        <w:t>．到学生处交还校卡，负责人签名确认；</w:t>
      </w:r>
    </w:p>
    <w:p>
      <w:pPr>
        <w:snapToGrid w:val="0"/>
        <w:spacing w:line="360" w:lineRule="auto"/>
        <w:ind w:firstLine="480" w:firstLineChars="200"/>
        <w:rPr>
          <w:rFonts w:ascii="宋体" w:hAnsi="Calibri" w:eastAsia="宋体" w:cs="Times New Roman"/>
          <w:color w:val="auto"/>
          <w:sz w:val="24"/>
          <w:szCs w:val="21"/>
        </w:rPr>
      </w:pPr>
      <w:r>
        <w:rPr>
          <w:rFonts w:ascii="宋体" w:hAnsi="宋体" w:eastAsia="宋体" w:cs="Times New Roman"/>
          <w:color w:val="auto"/>
          <w:sz w:val="24"/>
          <w:szCs w:val="21"/>
        </w:rPr>
        <w:t>6</w:t>
      </w:r>
      <w:r>
        <w:rPr>
          <w:rFonts w:hint="eastAsia" w:ascii="宋体" w:hAnsi="宋体" w:eastAsia="宋体" w:cs="Times New Roman"/>
          <w:color w:val="auto"/>
          <w:sz w:val="24"/>
          <w:szCs w:val="21"/>
        </w:rPr>
        <w:t>．到</w:t>
      </w:r>
      <w:r>
        <w:rPr>
          <w:rFonts w:hint="eastAsia" w:ascii="宋体" w:hAnsi="宋体" w:eastAsia="宋体" w:cs="Times New Roman"/>
          <w:color w:val="auto"/>
          <w:sz w:val="24"/>
          <w:szCs w:val="21"/>
          <w:lang w:eastAsia="zh-CN"/>
        </w:rPr>
        <w:t>教务部</w:t>
      </w:r>
      <w:r>
        <w:rPr>
          <w:rFonts w:hint="eastAsia" w:ascii="宋体" w:hAnsi="宋体" w:eastAsia="宋体" w:cs="Times New Roman"/>
          <w:color w:val="auto"/>
          <w:sz w:val="24"/>
          <w:szCs w:val="21"/>
        </w:rPr>
        <w:t>交还学生证，负责人签名确认。</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以上手续完成后持《广东江门中医药职业学院学生办理退学离校手续登记表》到学生处，出具退学通知单，方可离院。</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第六条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退还学费、住宿费的前提条件是必须先办理完退学手续。根据《教育部、国家发展改革委、财政部关于进一步规范高校教育收费管理若干问题的通知》（教财</w:t>
      </w:r>
      <w:r>
        <w:rPr>
          <w:rFonts w:ascii="宋体" w:hAnsi="宋体" w:eastAsia="宋体" w:cs="Times New Roman"/>
          <w:color w:val="auto"/>
          <w:sz w:val="24"/>
          <w:szCs w:val="21"/>
        </w:rPr>
        <w:t>[2006]2</w:t>
      </w:r>
      <w:r>
        <w:rPr>
          <w:rFonts w:hint="eastAsia" w:ascii="宋体" w:hAnsi="宋体" w:eastAsia="宋体" w:cs="Times New Roman"/>
          <w:color w:val="auto"/>
          <w:sz w:val="24"/>
          <w:szCs w:val="21"/>
        </w:rPr>
        <w:t>号）中明确规定，学生缴纳学费后，如因故退学或提前结束学业，高院应根据学生实际学习时间，按月计退剩余的学费。</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color w:val="auto"/>
          <w:sz w:val="24"/>
          <w:szCs w:val="21"/>
        </w:rPr>
        <w:t>第七条</w:t>
      </w:r>
      <w:r>
        <w:rPr>
          <w:rFonts w:ascii="宋体" w:hAnsi="宋体" w:eastAsia="宋体" w:cs="Times New Roman"/>
          <w:color w:val="auto"/>
          <w:sz w:val="24"/>
          <w:szCs w:val="21"/>
        </w:rPr>
        <w:t xml:space="preserve">  </w:t>
      </w:r>
      <w:r>
        <w:rPr>
          <w:rFonts w:hint="eastAsia" w:ascii="宋体" w:hAnsi="宋体" w:eastAsia="宋体" w:cs="Times New Roman"/>
          <w:color w:val="auto"/>
          <w:sz w:val="24"/>
          <w:szCs w:val="21"/>
        </w:rPr>
        <w:t>退学学生完成退学手续后，</w:t>
      </w:r>
      <w:r>
        <w:rPr>
          <w:rFonts w:hint="eastAsia" w:ascii="宋体" w:hAnsi="宋体" w:eastAsia="宋体" w:cs="Times New Roman"/>
          <w:color w:val="auto"/>
          <w:sz w:val="24"/>
          <w:szCs w:val="21"/>
          <w:lang w:eastAsia="zh-CN"/>
        </w:rPr>
        <w:t>教务部</w:t>
      </w:r>
      <w:r>
        <w:rPr>
          <w:rFonts w:hint="eastAsia" w:ascii="宋体" w:hAnsi="宋体" w:eastAsia="宋体" w:cs="Times New Roman"/>
          <w:color w:val="auto"/>
          <w:sz w:val="24"/>
          <w:szCs w:val="21"/>
        </w:rPr>
        <w:t>将退学名单报省教育厅备案并在学信网作学籍注销处理。</w:t>
      </w:r>
    </w:p>
    <w:p>
      <w:pPr>
        <w:snapToGrid w:val="0"/>
        <w:spacing w:line="360" w:lineRule="auto"/>
        <w:ind w:firstLine="482" w:firstLineChars="200"/>
        <w:rPr>
          <w:rFonts w:ascii="宋体" w:hAnsi="Calibri" w:eastAsia="宋体" w:cs="Times New Roman"/>
          <w:color w:val="auto"/>
          <w:sz w:val="24"/>
          <w:szCs w:val="21"/>
        </w:rPr>
      </w:pPr>
      <w:r>
        <w:rPr>
          <w:rFonts w:hint="eastAsia" w:ascii="宋体" w:hAnsi="宋体" w:eastAsia="宋体" w:cs="Times New Roman"/>
          <w:b/>
          <w:bCs/>
          <w:color w:val="auto"/>
          <w:sz w:val="24"/>
          <w:szCs w:val="21"/>
        </w:rPr>
        <w:t>第八条</w:t>
      </w:r>
      <w:r>
        <w:rPr>
          <w:rFonts w:ascii="宋体" w:hAnsi="宋体" w:eastAsia="宋体" w:cs="Times New Roman"/>
          <w:b/>
          <w:bCs/>
          <w:color w:val="auto"/>
          <w:sz w:val="24"/>
          <w:szCs w:val="21"/>
        </w:rPr>
        <w:t xml:space="preserve">  </w:t>
      </w:r>
      <w:r>
        <w:rPr>
          <w:rFonts w:hint="eastAsia" w:ascii="宋体" w:hAnsi="宋体" w:eastAsia="宋体" w:cs="Times New Roman"/>
          <w:color w:val="auto"/>
          <w:sz w:val="24"/>
          <w:szCs w:val="21"/>
        </w:rPr>
        <w:t>学生退学的善后问题，按下列规定办理：</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（一）退学的学生按学院规定期限办理退学手续离院，档案等资料退回其户籍所在地；</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（二）因病或意外伤残不能自行回家的，由家长或抚养人领回。</w:t>
      </w:r>
    </w:p>
    <w:p>
      <w:pPr>
        <w:snapToGrid w:val="0"/>
        <w:spacing w:line="360" w:lineRule="auto"/>
        <w:ind w:firstLine="480" w:firstLineChars="200"/>
        <w:rPr>
          <w:rFonts w:ascii="宋体" w:hAnsi="Calibri" w:eastAsia="宋体" w:cs="Times New Roman"/>
          <w:color w:val="auto"/>
          <w:sz w:val="24"/>
          <w:szCs w:val="21"/>
        </w:rPr>
      </w:pPr>
      <w:r>
        <w:rPr>
          <w:rFonts w:hint="eastAsia" w:ascii="宋体" w:hAnsi="宋体" w:eastAsia="宋体" w:cs="Times New Roman"/>
          <w:color w:val="auto"/>
          <w:sz w:val="24"/>
          <w:szCs w:val="21"/>
        </w:rPr>
        <w:t>（三）退学学生按规定办完离校手续的，可发给退学证明，学满一年以上者可同时发给肄业证书。未经学院批准擅自离院者，取消学籍，不发给退学证明和肄业证书。</w:t>
      </w:r>
    </w:p>
    <w:p>
      <w:pPr>
        <w:spacing w:line="360" w:lineRule="auto"/>
        <w:ind w:firstLine="480" w:firstLineChars="200"/>
        <w:rPr>
          <w:rFonts w:ascii="宋体" w:hAnsi="Calibri" w:eastAsia="宋体" w:cs="Times New Roman"/>
          <w:color w:val="auto"/>
          <w:sz w:val="24"/>
          <w:szCs w:val="21"/>
        </w:rPr>
      </w:pPr>
    </w:p>
    <w:p>
      <w:pPr>
        <w:spacing w:line="360" w:lineRule="auto"/>
        <w:ind w:firstLine="420" w:firstLineChars="200"/>
        <w:rPr>
          <w:rFonts w:ascii="宋体" w:hAnsi="Calibri" w:eastAsia="宋体" w:cs="Times New Roman"/>
          <w:color w:val="auto"/>
          <w:sz w:val="24"/>
          <w:szCs w:val="24"/>
        </w:rPr>
      </w:pPr>
      <w:r>
        <w:rPr>
          <w:rFonts w:ascii="Calibri" w:hAnsi="Calibri" w:eastAsia="宋体" w:cs="宋体"/>
          <w:color w:val="auto"/>
          <w:kern w:val="0"/>
          <w:szCs w:val="21"/>
        </w:rPr>
        <w:br w:type="page"/>
      </w:r>
    </w:p>
    <w:p>
      <w:pPr>
        <w:pStyle w:val="3"/>
        <w:bidi w:val="0"/>
        <w:jc w:val="center"/>
        <w:rPr>
          <w:color w:val="auto"/>
        </w:rPr>
      </w:pPr>
      <w:bookmarkStart w:id="43" w:name="_Toc8526"/>
      <w:r>
        <w:rPr>
          <w:rFonts w:hint="eastAsia"/>
          <w:color w:val="auto"/>
        </w:rPr>
        <w:t>学籍注册管理办法</w:t>
      </w:r>
      <w:bookmarkEnd w:id="43"/>
    </w:p>
    <w:p>
      <w:pPr>
        <w:widowControl w:val="0"/>
        <w:tabs>
          <w:tab w:val="left" w:pos="360"/>
        </w:tabs>
        <w:spacing w:line="360" w:lineRule="auto"/>
        <w:ind w:left="482" w:firstLine="0" w:firstLineChars="0"/>
        <w:jc w:val="center"/>
        <w:rPr>
          <w:rFonts w:ascii="Cambria" w:hAnsi="Cambria" w:eastAsia="宋体" w:cs="Times New Roman"/>
          <w:b/>
          <w:bCs/>
          <w:color w:val="auto"/>
          <w:kern w:val="2"/>
          <w:sz w:val="24"/>
          <w:szCs w:val="32"/>
          <w:lang w:val="en-US" w:eastAsia="zh-CN" w:bidi="ar-SA"/>
        </w:rPr>
      </w:pPr>
    </w:p>
    <w:p>
      <w:pPr>
        <w:widowControl w:val="0"/>
        <w:tabs>
          <w:tab w:val="left" w:pos="360"/>
        </w:tabs>
        <w:spacing w:line="360" w:lineRule="auto"/>
        <w:ind w:left="482" w:firstLine="0" w:firstLineChars="0"/>
        <w:jc w:val="center"/>
        <w:rPr>
          <w:rFonts w:ascii="Cambria" w:hAnsi="Cambria" w:eastAsia="宋体" w:cs="Times New Roman"/>
          <w:b/>
          <w:bCs/>
          <w:color w:val="auto"/>
          <w:kern w:val="2"/>
          <w:sz w:val="24"/>
          <w:szCs w:val="32"/>
          <w:lang w:val="en-US" w:eastAsia="zh-CN" w:bidi="ar-SA"/>
        </w:rPr>
      </w:pPr>
      <w:r>
        <w:rPr>
          <w:rFonts w:hint="eastAsia" w:ascii="Cambria" w:hAnsi="Cambria" w:eastAsia="宋体" w:cs="Times New Roman"/>
          <w:b/>
          <w:bCs/>
          <w:color w:val="auto"/>
          <w:kern w:val="2"/>
          <w:sz w:val="24"/>
          <w:szCs w:val="32"/>
          <w:lang w:val="en-US" w:eastAsia="zh-CN" w:bidi="ar-SA"/>
        </w:rPr>
        <w:t>第一章总则</w:t>
      </w:r>
    </w:p>
    <w:p>
      <w:pPr>
        <w:widowControl w:val="0"/>
        <w:tabs>
          <w:tab w:val="left" w:pos="360"/>
        </w:tabs>
        <w:spacing w:line="360" w:lineRule="auto"/>
        <w:ind w:left="482" w:firstLine="0" w:firstLineChars="0"/>
        <w:jc w:val="both"/>
        <w:rPr>
          <w:rFonts w:ascii="Cambria" w:hAnsi="Cambria" w:eastAsia="宋体" w:cs="Times New Roman"/>
          <w:b/>
          <w:bCs/>
          <w:color w:val="auto"/>
          <w:kern w:val="2"/>
          <w:sz w:val="24"/>
          <w:szCs w:val="32"/>
          <w:lang w:val="en-US" w:eastAsia="zh-CN" w:bidi="ar-SA"/>
        </w:rPr>
      </w:pP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第一条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为维护学院正常教育教学秩序，保障学生正当权益，建立健全学生信息库，进一步规范学籍注册管理，根据《普通高等学校学生管理规定》（教育部</w:t>
      </w:r>
      <w:r>
        <w:rPr>
          <w:rFonts w:ascii="宋体" w:hAnsi="宋体" w:eastAsia="宋体" w:cs="Times New Roman"/>
          <w:bCs/>
          <w:color w:val="auto"/>
          <w:sz w:val="24"/>
          <w:szCs w:val="21"/>
        </w:rPr>
        <w:t>41</w:t>
      </w:r>
      <w:r>
        <w:rPr>
          <w:rFonts w:hint="eastAsia" w:ascii="宋体" w:hAnsi="宋体" w:eastAsia="宋体" w:cs="Times New Roman"/>
          <w:bCs/>
          <w:color w:val="auto"/>
          <w:sz w:val="24"/>
          <w:szCs w:val="21"/>
        </w:rPr>
        <w:t>号令），结合学院实际，制定本办法。</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第二条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本办法所指的学籍注册管理是指学院根据《普通高等学校学生管理规定》对学生实施基本信息登记和在院学习资格认定的管理，是学生在院期间必须履行的一项学籍登记手续，是对学生学籍有效性的一种认可，分为新生学籍注册和在校生学年注册两种。</w:t>
      </w:r>
    </w:p>
    <w:p>
      <w:pPr>
        <w:widowControl w:val="0"/>
        <w:numPr>
          <w:ilvl w:val="0"/>
          <w:numId w:val="32"/>
        </w:numPr>
        <w:tabs>
          <w:tab w:val="left" w:pos="360"/>
        </w:tabs>
        <w:spacing w:line="360" w:lineRule="auto"/>
        <w:ind w:left="0" w:firstLine="482" w:firstLineChars="200"/>
        <w:jc w:val="center"/>
        <w:rPr>
          <w:rFonts w:ascii="Cambria" w:hAnsi="Cambria" w:eastAsia="宋体" w:cs="Times New Roman"/>
          <w:b/>
          <w:bCs/>
          <w:color w:val="auto"/>
          <w:kern w:val="2"/>
          <w:sz w:val="24"/>
          <w:szCs w:val="32"/>
          <w:lang w:val="en-US" w:eastAsia="zh-CN" w:bidi="ar-SA"/>
        </w:rPr>
      </w:pPr>
      <w:r>
        <w:rPr>
          <w:rFonts w:hint="eastAsia" w:ascii="Cambria" w:hAnsi="Cambria" w:eastAsia="宋体" w:cs="Times New Roman"/>
          <w:b/>
          <w:bCs/>
          <w:color w:val="auto"/>
          <w:kern w:val="2"/>
          <w:sz w:val="24"/>
          <w:szCs w:val="32"/>
          <w:lang w:val="en-US" w:eastAsia="zh-CN" w:bidi="ar-SA"/>
        </w:rPr>
        <w:t>新生学籍注册</w:t>
      </w:r>
    </w:p>
    <w:p>
      <w:pPr>
        <w:widowControl w:val="0"/>
        <w:tabs>
          <w:tab w:val="left" w:pos="360"/>
        </w:tabs>
        <w:spacing w:line="360" w:lineRule="auto"/>
        <w:ind w:firstLine="480" w:firstLineChars="200"/>
        <w:jc w:val="both"/>
        <w:rPr>
          <w:rFonts w:ascii="宋体" w:hAnsi="Calibri" w:eastAsia="宋体" w:cs="Times New Roman"/>
          <w:bCs/>
          <w:color w:val="auto"/>
          <w:kern w:val="2"/>
          <w:sz w:val="24"/>
          <w:szCs w:val="21"/>
          <w:lang w:val="en-US" w:eastAsia="zh-CN" w:bidi="ar-SA"/>
        </w:rPr>
      </w:pP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第三条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新生学籍注册是按国家招生规定录取的新生，持录取通知书按学院有关要求，在规定的期限入学报到、取得学习资格即学籍的必要程序。</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第四条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新生缴费入学报到后，如实填写和核对相关个人信息，学院在两个月内按照国家招生规定对其进行复查，三个月后对复查合格学生在学信网进行学籍注册，学籍注册后新生可登录学信网实名注册后查询、核实本人身份信息和学籍注册信息。</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第五条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学生通过注册即取得学籍，由学院发放学生证；对复查不合格者，由学院按相关规定予以处理，直至取消入学资格。</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第六条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新生因故不能按期报到，应当以信函的形式并附相关证明，提出请假，请假时间不得超过一个月。未请假或请假逾期者，除因不可抗力等正当事由外，视为自动放弃入学资格。</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第七条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按国家规定录取的新生，经批准保留入学资格的，在保留入学资格期间可不办理注册手续即不具有学籍。保留入学资格期满，经本人申请，</w:t>
      </w:r>
      <w:r>
        <w:rPr>
          <w:rFonts w:hint="eastAsia" w:ascii="宋体" w:hAnsi="宋体" w:eastAsia="宋体" w:cs="Times New Roman"/>
          <w:bCs/>
          <w:color w:val="auto"/>
          <w:sz w:val="24"/>
          <w:szCs w:val="21"/>
          <w:lang w:eastAsia="zh-CN"/>
        </w:rPr>
        <w:t>教务部</w:t>
      </w:r>
      <w:r>
        <w:rPr>
          <w:rFonts w:hint="eastAsia" w:ascii="宋体" w:hAnsi="宋体" w:eastAsia="宋体" w:cs="Times New Roman"/>
          <w:bCs/>
          <w:color w:val="auto"/>
          <w:sz w:val="24"/>
          <w:szCs w:val="21"/>
        </w:rPr>
        <w:t>审批同意后，按本规定办理注册手续。</w:t>
      </w:r>
    </w:p>
    <w:p>
      <w:pPr>
        <w:tabs>
          <w:tab w:val="left" w:pos="360"/>
        </w:tabs>
        <w:spacing w:line="360" w:lineRule="auto"/>
        <w:ind w:firstLine="480" w:firstLineChars="200"/>
        <w:rPr>
          <w:rFonts w:ascii="宋体" w:hAnsi="Calibri" w:eastAsia="宋体" w:cs="Times New Roman"/>
          <w:bCs/>
          <w:color w:val="auto"/>
          <w:sz w:val="24"/>
          <w:szCs w:val="21"/>
        </w:rPr>
      </w:pPr>
    </w:p>
    <w:p>
      <w:pPr>
        <w:tabs>
          <w:tab w:val="left" w:pos="360"/>
        </w:tabs>
        <w:spacing w:line="360" w:lineRule="auto"/>
        <w:ind w:firstLine="480" w:firstLineChars="200"/>
        <w:rPr>
          <w:rFonts w:ascii="宋体" w:hAnsi="Calibri" w:eastAsia="宋体" w:cs="Times New Roman"/>
          <w:bCs/>
          <w:color w:val="auto"/>
          <w:sz w:val="24"/>
          <w:szCs w:val="21"/>
        </w:rPr>
      </w:pPr>
    </w:p>
    <w:p>
      <w:pPr>
        <w:widowControl w:val="0"/>
        <w:numPr>
          <w:ilvl w:val="0"/>
          <w:numId w:val="32"/>
        </w:numPr>
        <w:tabs>
          <w:tab w:val="left" w:pos="360"/>
        </w:tabs>
        <w:spacing w:line="360" w:lineRule="auto"/>
        <w:ind w:left="0" w:firstLine="482" w:firstLineChars="200"/>
        <w:jc w:val="center"/>
        <w:rPr>
          <w:rFonts w:ascii="Cambria" w:hAnsi="Cambria" w:eastAsia="宋体" w:cs="Times New Roman"/>
          <w:b/>
          <w:bCs/>
          <w:color w:val="auto"/>
          <w:kern w:val="2"/>
          <w:sz w:val="24"/>
          <w:szCs w:val="32"/>
          <w:lang w:val="en-US" w:eastAsia="zh-CN" w:bidi="ar-SA"/>
        </w:rPr>
      </w:pPr>
      <w:r>
        <w:rPr>
          <w:rFonts w:hint="eastAsia" w:ascii="Cambria" w:hAnsi="Cambria" w:eastAsia="宋体" w:cs="Times New Roman"/>
          <w:b/>
          <w:bCs/>
          <w:color w:val="auto"/>
          <w:kern w:val="2"/>
          <w:sz w:val="24"/>
          <w:szCs w:val="32"/>
          <w:lang w:val="en-US" w:eastAsia="zh-CN" w:bidi="ar-SA"/>
        </w:rPr>
        <w:t>在校生学年注册</w:t>
      </w:r>
    </w:p>
    <w:p>
      <w:pPr>
        <w:widowControl w:val="0"/>
        <w:tabs>
          <w:tab w:val="left" w:pos="360"/>
        </w:tabs>
        <w:spacing w:line="360" w:lineRule="auto"/>
        <w:ind w:firstLine="480" w:firstLineChars="200"/>
        <w:jc w:val="both"/>
        <w:rPr>
          <w:rFonts w:ascii="宋体" w:hAnsi="Calibri" w:eastAsia="宋体" w:cs="Times New Roman"/>
          <w:bCs/>
          <w:color w:val="auto"/>
          <w:kern w:val="2"/>
          <w:sz w:val="24"/>
          <w:szCs w:val="21"/>
          <w:lang w:val="en-US" w:eastAsia="zh-CN" w:bidi="ar-SA"/>
        </w:rPr>
      </w:pP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第八条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在校生在每学年第一学期进行学年电子注册（以下简称学年注册）。学年注册包括在校生新学年注册（含注册学籍、暂缓注册等）和上学年学籍变动（含留级、降级、跳级、休学、复学、转学、转专业、保留学籍等）、学籍记载（含学业考试情况、社会实践情况、奖惩情况等）、学籍注销</w:t>
      </w:r>
      <w:r>
        <w:rPr>
          <w:rFonts w:ascii="宋体" w:hAnsi="宋体" w:eastAsia="宋体" w:cs="Times New Roman"/>
          <w:bCs/>
          <w:color w:val="auto"/>
          <w:sz w:val="24"/>
          <w:szCs w:val="21"/>
        </w:rPr>
        <w:t>(</w:t>
      </w:r>
      <w:r>
        <w:rPr>
          <w:rFonts w:hint="eastAsia" w:ascii="宋体" w:hAnsi="宋体" w:eastAsia="宋体" w:cs="Times New Roman"/>
          <w:bCs/>
          <w:color w:val="auto"/>
          <w:sz w:val="24"/>
          <w:szCs w:val="21"/>
        </w:rPr>
        <w:t>含退学、取消学籍、开除学籍、死亡等</w:t>
      </w:r>
      <w:r>
        <w:rPr>
          <w:rFonts w:ascii="宋体" w:hAnsi="宋体" w:eastAsia="宋体" w:cs="Times New Roman"/>
          <w:bCs/>
          <w:color w:val="auto"/>
          <w:sz w:val="24"/>
          <w:szCs w:val="21"/>
        </w:rPr>
        <w:t>)</w:t>
      </w:r>
      <w:r>
        <w:rPr>
          <w:rFonts w:hint="eastAsia" w:ascii="宋体" w:hAnsi="宋体" w:eastAsia="宋体" w:cs="Times New Roman"/>
          <w:bCs/>
          <w:color w:val="auto"/>
          <w:sz w:val="24"/>
          <w:szCs w:val="21"/>
        </w:rPr>
        <w:t>以及学生取得的其他证书（含肄业证书、学习证明等），由</w:t>
      </w:r>
      <w:r>
        <w:rPr>
          <w:rFonts w:hint="eastAsia" w:ascii="宋体" w:hAnsi="宋体" w:eastAsia="宋体" w:cs="Times New Roman"/>
          <w:bCs/>
          <w:color w:val="auto"/>
          <w:sz w:val="24"/>
          <w:szCs w:val="21"/>
          <w:lang w:eastAsia="zh-CN"/>
        </w:rPr>
        <w:t>教务部</w:t>
      </w:r>
      <w:r>
        <w:rPr>
          <w:rFonts w:hint="eastAsia" w:ascii="宋体" w:hAnsi="宋体" w:eastAsia="宋体" w:cs="Times New Roman"/>
          <w:bCs/>
          <w:color w:val="auto"/>
          <w:sz w:val="24"/>
          <w:szCs w:val="21"/>
        </w:rPr>
        <w:t>在学信网进行标注。</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第九条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每学期开学，在校学生应按时回校并在开学两周内持学生证到所在</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办理注册手续。学生因故不能按时回院注册的，应当履行请假及暂缓注册手续（病假凭医院诊断证明，事假凭家长函件，并注明请假时间），否则以旷课论，并给予相应的纪律处分。未经请假或请假未获批准逾期两周不注册者，按自动退学处理。</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第十条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学生须在每学年按学院规定准时缴交学费，未按学院规定缴纳学费或者其他不符合注册条件者不予注册。凡休学、保留学籍或其他原因离院的学生，未按规定办理复学者，不予注册。</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第十一条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各</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应在每学期开学报到第一天起连续三天向</w:t>
      </w:r>
      <w:r>
        <w:rPr>
          <w:rFonts w:hint="eastAsia" w:ascii="宋体" w:hAnsi="宋体" w:eastAsia="宋体" w:cs="Times New Roman"/>
          <w:bCs/>
          <w:color w:val="auto"/>
          <w:sz w:val="24"/>
          <w:szCs w:val="21"/>
          <w:lang w:eastAsia="zh-CN"/>
        </w:rPr>
        <w:t>教务部</w:t>
      </w:r>
      <w:r>
        <w:rPr>
          <w:rFonts w:hint="eastAsia" w:ascii="宋体" w:hAnsi="宋体" w:eastAsia="宋体" w:cs="Times New Roman"/>
          <w:bCs/>
          <w:color w:val="auto"/>
          <w:sz w:val="24"/>
          <w:szCs w:val="21"/>
        </w:rPr>
        <w:t>报送学生到院及出勤情况，并在开学第三周内向</w:t>
      </w:r>
      <w:r>
        <w:rPr>
          <w:rFonts w:hint="eastAsia" w:ascii="宋体" w:hAnsi="宋体" w:eastAsia="宋体" w:cs="Times New Roman"/>
          <w:bCs/>
          <w:color w:val="auto"/>
          <w:sz w:val="24"/>
          <w:szCs w:val="21"/>
          <w:lang w:eastAsia="zh-CN"/>
        </w:rPr>
        <w:t>教务部</w:t>
      </w:r>
      <w:r>
        <w:rPr>
          <w:rFonts w:hint="eastAsia" w:ascii="宋体" w:hAnsi="宋体" w:eastAsia="宋体" w:cs="Times New Roman"/>
          <w:bCs/>
          <w:color w:val="auto"/>
          <w:sz w:val="24"/>
          <w:szCs w:val="21"/>
        </w:rPr>
        <w:t>报送本</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学生注册情况。</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第十二条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因家庭经济困难等原因而暂时无力缴清学费等费用，学院开设“绿色通道”，由学生本人向资助管理中心提出申请，办理助学贷款，审批后予以办理注册手续。</w:t>
      </w:r>
    </w:p>
    <w:p>
      <w:pPr>
        <w:widowControl w:val="0"/>
        <w:numPr>
          <w:ilvl w:val="0"/>
          <w:numId w:val="32"/>
        </w:numPr>
        <w:tabs>
          <w:tab w:val="left" w:pos="360"/>
        </w:tabs>
        <w:spacing w:line="360" w:lineRule="auto"/>
        <w:ind w:left="0" w:firstLine="482" w:firstLineChars="200"/>
        <w:jc w:val="center"/>
        <w:rPr>
          <w:rFonts w:ascii="Cambria" w:hAnsi="Cambria" w:eastAsia="宋体" w:cs="Times New Roman"/>
          <w:b/>
          <w:bCs/>
          <w:color w:val="auto"/>
          <w:kern w:val="2"/>
          <w:sz w:val="24"/>
          <w:szCs w:val="32"/>
          <w:lang w:val="en-US" w:eastAsia="zh-CN" w:bidi="ar-SA"/>
        </w:rPr>
      </w:pPr>
      <w:r>
        <w:rPr>
          <w:rFonts w:hint="eastAsia" w:ascii="Cambria" w:hAnsi="Cambria" w:eastAsia="宋体" w:cs="Times New Roman"/>
          <w:b/>
          <w:bCs/>
          <w:color w:val="auto"/>
          <w:kern w:val="2"/>
          <w:sz w:val="24"/>
          <w:szCs w:val="32"/>
          <w:lang w:val="en-US" w:eastAsia="zh-CN" w:bidi="ar-SA"/>
        </w:rPr>
        <w:t>暂缓注册管理</w:t>
      </w:r>
    </w:p>
    <w:p>
      <w:pPr>
        <w:widowControl w:val="0"/>
        <w:tabs>
          <w:tab w:val="left" w:pos="360"/>
        </w:tabs>
        <w:spacing w:line="360" w:lineRule="auto"/>
        <w:ind w:left="480" w:firstLine="0" w:firstLineChars="0"/>
        <w:jc w:val="both"/>
        <w:rPr>
          <w:rFonts w:ascii="宋体" w:hAnsi="Calibri" w:eastAsia="宋体" w:cs="Times New Roman"/>
          <w:bCs/>
          <w:color w:val="auto"/>
          <w:kern w:val="2"/>
          <w:sz w:val="24"/>
          <w:szCs w:val="21"/>
          <w:lang w:val="en-US" w:eastAsia="zh-CN" w:bidi="ar-SA"/>
        </w:rPr>
      </w:pP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第十三条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有下列情形之一的学生，可向学院申请暂缓注册：</w:t>
      </w:r>
    </w:p>
    <w:p>
      <w:pPr>
        <w:tabs>
          <w:tab w:val="left" w:pos="360"/>
        </w:tabs>
        <w:spacing w:line="360" w:lineRule="auto"/>
        <w:ind w:firstLine="480" w:firstLineChars="200"/>
        <w:rPr>
          <w:rFonts w:ascii="宋体" w:hAnsi="宋体" w:eastAsia="宋体" w:cs="Times New Roman"/>
          <w:bCs/>
          <w:color w:val="auto"/>
          <w:sz w:val="24"/>
          <w:szCs w:val="21"/>
        </w:rPr>
      </w:pPr>
      <w:r>
        <w:rPr>
          <w:rFonts w:hint="eastAsia" w:ascii="宋体" w:hAnsi="宋体" w:eastAsia="宋体" w:cs="Times New Roman"/>
          <w:bCs/>
          <w:color w:val="auto"/>
          <w:sz w:val="24"/>
          <w:szCs w:val="21"/>
        </w:rPr>
        <w:t>（一）不能按时报到并已办理请假手续的。</w:t>
      </w:r>
      <w:r>
        <w:rPr>
          <w:rFonts w:ascii="宋体" w:hAnsi="宋体" w:eastAsia="宋体" w:cs="Times New Roman"/>
          <w:bCs/>
          <w:color w:val="auto"/>
          <w:sz w:val="24"/>
          <w:szCs w:val="21"/>
        </w:rPr>
        <w:t xml:space="preserve"> </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（二）因家庭经济困难等原因暂时不能缴清学费等费用，已申请助学贷款但暂未审批通过的。</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（三）上一个学期（含假期）有违法、违纪行为，学院未作处理结论的；</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（四）因特殊情况需要申请缓注册的。</w:t>
      </w:r>
    </w:p>
    <w:p>
      <w:pPr>
        <w:tabs>
          <w:tab w:val="left" w:pos="360"/>
        </w:tabs>
        <w:spacing w:line="360" w:lineRule="auto"/>
        <w:ind w:firstLine="482" w:firstLineChars="200"/>
        <w:rPr>
          <w:rFonts w:ascii="MingLiU_HKSCS" w:hAnsi="Calibri" w:eastAsia="MingLiU_HKSCS" w:cs="MingLiU_HKSCS"/>
          <w:bCs/>
          <w:color w:val="auto"/>
          <w:sz w:val="24"/>
          <w:szCs w:val="21"/>
        </w:rPr>
      </w:pPr>
      <w:r>
        <w:rPr>
          <w:rFonts w:hint="eastAsia" w:ascii="宋体" w:hAnsi="宋体" w:eastAsia="宋体" w:cs="Times New Roman"/>
          <w:b/>
          <w:bCs/>
          <w:color w:val="auto"/>
          <w:sz w:val="24"/>
          <w:szCs w:val="21"/>
        </w:rPr>
        <w:t>第十四条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暂缓注册期限为学生开学后两周内，特殊情况，报</w:t>
      </w:r>
      <w:r>
        <w:rPr>
          <w:rFonts w:hint="eastAsia" w:ascii="宋体" w:hAnsi="宋体" w:eastAsia="宋体" w:cs="Times New Roman"/>
          <w:bCs/>
          <w:color w:val="auto"/>
          <w:sz w:val="24"/>
          <w:szCs w:val="21"/>
          <w:lang w:eastAsia="zh-CN"/>
        </w:rPr>
        <w:t>教务部</w:t>
      </w:r>
      <w:r>
        <w:rPr>
          <w:rFonts w:hint="eastAsia" w:ascii="宋体" w:hAnsi="宋体" w:eastAsia="宋体" w:cs="Times New Roman"/>
          <w:bCs/>
          <w:color w:val="auto"/>
          <w:sz w:val="24"/>
          <w:szCs w:val="21"/>
        </w:rPr>
        <w:t>同意后可适当延长。暂缓注册期满，未注册者按未注册处理。</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第十五条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因上述原因不能按期注册者，应当在正常注册时间结束前向所在</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提出书面申请，填写《暂缓注册申请表》，一式两份，由学生所在</w:t>
      </w:r>
      <w:r>
        <w:rPr>
          <w:rFonts w:hint="eastAsia" w:ascii="宋体" w:hAnsi="宋体" w:eastAsia="宋体" w:cs="Times New Roman"/>
          <w:bCs/>
          <w:color w:val="auto"/>
          <w:sz w:val="24"/>
          <w:szCs w:val="21"/>
          <w:lang w:eastAsia="zh-CN"/>
        </w:rPr>
        <w:t>二级学院</w:t>
      </w:r>
      <w:r>
        <w:rPr>
          <w:rFonts w:hint="eastAsia" w:ascii="宋体" w:hAnsi="宋体" w:eastAsia="宋体" w:cs="Times New Roman"/>
          <w:bCs/>
          <w:color w:val="auto"/>
          <w:sz w:val="24"/>
          <w:szCs w:val="21"/>
        </w:rPr>
        <w:t>审核，报</w:t>
      </w:r>
      <w:r>
        <w:rPr>
          <w:rFonts w:hint="eastAsia" w:ascii="宋体" w:hAnsi="宋体" w:eastAsia="宋体" w:cs="Times New Roman"/>
          <w:bCs/>
          <w:color w:val="auto"/>
          <w:sz w:val="24"/>
          <w:szCs w:val="21"/>
          <w:lang w:eastAsia="zh-CN"/>
        </w:rPr>
        <w:t>教务部</w:t>
      </w:r>
      <w:r>
        <w:rPr>
          <w:rFonts w:hint="eastAsia" w:ascii="宋体" w:hAnsi="宋体" w:eastAsia="宋体" w:cs="Times New Roman"/>
          <w:bCs/>
          <w:color w:val="auto"/>
          <w:sz w:val="24"/>
          <w:szCs w:val="21"/>
        </w:rPr>
        <w:t>审批备案。如获批准，可以办理暂缓注册手续。如未获批准，由</w:t>
      </w:r>
      <w:r>
        <w:rPr>
          <w:rFonts w:hint="eastAsia" w:ascii="宋体" w:hAnsi="宋体" w:eastAsia="宋体" w:cs="Times New Roman"/>
          <w:bCs/>
          <w:color w:val="auto"/>
          <w:sz w:val="24"/>
          <w:szCs w:val="21"/>
          <w:lang w:eastAsia="zh-CN"/>
        </w:rPr>
        <w:t>学生工作部</w:t>
      </w:r>
      <w:r>
        <w:rPr>
          <w:rFonts w:hint="eastAsia" w:ascii="宋体" w:hAnsi="宋体" w:eastAsia="宋体" w:cs="Times New Roman"/>
          <w:bCs/>
          <w:color w:val="auto"/>
          <w:sz w:val="24"/>
          <w:szCs w:val="21"/>
        </w:rPr>
        <w:t>在接到学生申请后三个工作日内给出不予批准的答复。</w:t>
      </w:r>
    </w:p>
    <w:p>
      <w:pPr>
        <w:tabs>
          <w:tab w:val="left" w:pos="360"/>
        </w:tabs>
        <w:spacing w:line="360" w:lineRule="auto"/>
        <w:ind w:firstLine="482" w:firstLineChars="200"/>
        <w:rPr>
          <w:rFonts w:ascii="宋体" w:hAnsi="Calibri" w:eastAsia="宋体" w:cs="宋体"/>
          <w:bCs/>
          <w:color w:val="auto"/>
          <w:sz w:val="24"/>
          <w:szCs w:val="21"/>
        </w:rPr>
      </w:pPr>
      <w:r>
        <w:rPr>
          <w:rFonts w:hint="eastAsia" w:ascii="宋体" w:hAnsi="宋体" w:eastAsia="宋体" w:cs="Times New Roman"/>
          <w:b/>
          <w:bCs/>
          <w:color w:val="auto"/>
          <w:sz w:val="24"/>
          <w:szCs w:val="21"/>
        </w:rPr>
        <w:t>第十六条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因家庭经济困难等原因而暂时无力缴清学费等费用，并办理了暂缓注册手续的学生，助学贷款获审批后，完成注册手续；若因个人原因不能办理贷款的，须在暂缓注册期间缴清学费等费用后完成注册手续。</w:t>
      </w:r>
    </w:p>
    <w:p>
      <w:pPr>
        <w:widowControl w:val="0"/>
        <w:numPr>
          <w:ilvl w:val="0"/>
          <w:numId w:val="32"/>
        </w:numPr>
        <w:tabs>
          <w:tab w:val="left" w:pos="360"/>
        </w:tabs>
        <w:spacing w:line="360" w:lineRule="auto"/>
        <w:ind w:left="0" w:firstLine="482" w:firstLineChars="200"/>
        <w:jc w:val="center"/>
        <w:rPr>
          <w:rFonts w:ascii="Cambria" w:hAnsi="Cambria" w:eastAsia="宋体" w:cs="Times New Roman"/>
          <w:b/>
          <w:bCs/>
          <w:color w:val="auto"/>
          <w:kern w:val="2"/>
          <w:sz w:val="24"/>
          <w:szCs w:val="32"/>
          <w:lang w:val="en-US" w:eastAsia="zh-CN" w:bidi="ar-SA"/>
        </w:rPr>
      </w:pPr>
      <w:r>
        <w:rPr>
          <w:rFonts w:hint="eastAsia" w:ascii="Cambria" w:hAnsi="Cambria" w:eastAsia="宋体" w:cs="Times New Roman"/>
          <w:b/>
          <w:bCs/>
          <w:color w:val="auto"/>
          <w:kern w:val="2"/>
          <w:sz w:val="24"/>
          <w:szCs w:val="32"/>
          <w:lang w:val="en-US" w:eastAsia="zh-CN" w:bidi="ar-SA"/>
        </w:rPr>
        <w:t>未注册管理</w:t>
      </w:r>
    </w:p>
    <w:p>
      <w:pPr>
        <w:widowControl w:val="0"/>
        <w:tabs>
          <w:tab w:val="left" w:pos="360"/>
        </w:tabs>
        <w:spacing w:line="360" w:lineRule="auto"/>
        <w:ind w:left="480" w:firstLine="0" w:firstLineChars="0"/>
        <w:jc w:val="both"/>
        <w:rPr>
          <w:rFonts w:ascii="宋体" w:hAnsi="Calibri" w:eastAsia="宋体" w:cs="宋体"/>
          <w:bCs/>
          <w:color w:val="auto"/>
          <w:kern w:val="2"/>
          <w:sz w:val="24"/>
          <w:szCs w:val="21"/>
          <w:lang w:val="en-US" w:eastAsia="zh-CN" w:bidi="ar-SA"/>
        </w:rPr>
      </w:pP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第十七条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有下列情形之一的学生，学院不予注册：</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（一）超过学院规定期限未注册而又无正当事由者；</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（二）应当休学而没有履行休学手续者；</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（三）未向学院交清学费等费用而未办理缓注册手续者；</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（四）超过暂缓注册期限未办理注册手续者；</w:t>
      </w:r>
    </w:p>
    <w:p>
      <w:pPr>
        <w:tabs>
          <w:tab w:val="left" w:pos="360"/>
        </w:tabs>
        <w:spacing w:line="360" w:lineRule="auto"/>
        <w:ind w:firstLine="480" w:firstLineChars="200"/>
        <w:rPr>
          <w:rFonts w:ascii="宋体" w:hAnsi="Calibri" w:eastAsia="宋体" w:cs="Times New Roman"/>
          <w:bCs/>
          <w:color w:val="auto"/>
          <w:sz w:val="24"/>
          <w:szCs w:val="21"/>
        </w:rPr>
      </w:pPr>
      <w:r>
        <w:rPr>
          <w:rFonts w:hint="eastAsia" w:ascii="宋体" w:hAnsi="宋体" w:eastAsia="宋体" w:cs="Times New Roman"/>
          <w:bCs/>
          <w:color w:val="auto"/>
          <w:sz w:val="24"/>
          <w:szCs w:val="21"/>
        </w:rPr>
        <w:t>（五）按照学院规定应给予退学处理者。</w:t>
      </w:r>
    </w:p>
    <w:p>
      <w:pPr>
        <w:tabs>
          <w:tab w:val="left" w:pos="360"/>
        </w:tabs>
        <w:spacing w:line="360" w:lineRule="auto"/>
        <w:ind w:firstLine="482" w:firstLineChars="200"/>
        <w:rPr>
          <w:rFonts w:ascii="宋体" w:hAnsi="Calibri" w:eastAsia="宋体" w:cs="Times New Roman"/>
          <w:bCs/>
          <w:color w:val="auto"/>
          <w:sz w:val="24"/>
          <w:szCs w:val="21"/>
        </w:rPr>
      </w:pPr>
      <w:r>
        <w:rPr>
          <w:rFonts w:hint="eastAsia" w:ascii="宋体" w:hAnsi="宋体" w:eastAsia="宋体" w:cs="Times New Roman"/>
          <w:b/>
          <w:bCs/>
          <w:color w:val="auto"/>
          <w:sz w:val="24"/>
          <w:szCs w:val="21"/>
        </w:rPr>
        <w:t>第十八条</w:t>
      </w:r>
      <w:r>
        <w:rPr>
          <w:rFonts w:ascii="宋体" w:hAnsi="宋体" w:eastAsia="宋体" w:cs="Times New Roman"/>
          <w:bCs/>
          <w:color w:val="auto"/>
          <w:sz w:val="24"/>
          <w:szCs w:val="21"/>
        </w:rPr>
        <w:t xml:space="preserve">  </w:t>
      </w:r>
      <w:r>
        <w:rPr>
          <w:rFonts w:hint="eastAsia" w:ascii="宋体" w:hAnsi="宋体" w:eastAsia="宋体" w:cs="Times New Roman"/>
          <w:bCs/>
          <w:color w:val="auto"/>
          <w:sz w:val="24"/>
          <w:szCs w:val="21"/>
        </w:rPr>
        <w:t>未注册学生，不再享有在校生的各项权利，即停止其选课、考试等教学活动。</w:t>
      </w: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widowControl/>
        <w:jc w:val="left"/>
        <w:rPr>
          <w:rFonts w:ascii="Cambria" w:hAnsi="Cambria" w:eastAsia="宋体" w:cs="Times New Roman"/>
          <w:b/>
          <w:bCs/>
          <w:color w:val="auto"/>
          <w:kern w:val="28"/>
          <w:sz w:val="32"/>
          <w:szCs w:val="32"/>
        </w:rPr>
      </w:pPr>
      <w:r>
        <w:rPr>
          <w:rFonts w:ascii="Calibri" w:hAnsi="Calibri" w:eastAsia="宋体" w:cs="Times New Roman"/>
          <w:color w:val="auto"/>
        </w:rPr>
        <w:br w:type="page"/>
      </w:r>
    </w:p>
    <w:p>
      <w:pPr>
        <w:pStyle w:val="3"/>
        <w:bidi w:val="0"/>
        <w:jc w:val="center"/>
        <w:rPr>
          <w:color w:val="auto"/>
        </w:rPr>
      </w:pPr>
      <w:bookmarkStart w:id="44" w:name="_Toc2534"/>
      <w:r>
        <w:rPr>
          <w:rFonts w:hint="eastAsia"/>
          <w:color w:val="auto"/>
        </w:rPr>
        <w:t>学生证管理办法</w:t>
      </w:r>
      <w:bookmarkEnd w:id="44"/>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根据教育部办公厅《关于加强高等学校学生证管理的通知》，为进一步规范学生证的使用和管理，特制定本办法。</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第一条</w:t>
      </w:r>
      <w:r>
        <w:rPr>
          <w:rFonts w:ascii="宋体" w:hAnsi="宋体" w:eastAsia="宋体" w:cs="Times New Roman"/>
          <w:b/>
          <w:color w:val="auto"/>
          <w:sz w:val="24"/>
          <w:szCs w:val="24"/>
        </w:rPr>
        <w:t xml:space="preserve">  </w:t>
      </w:r>
      <w:r>
        <w:rPr>
          <w:rFonts w:hint="eastAsia" w:ascii="宋体" w:hAnsi="宋体" w:eastAsia="宋体" w:cs="Times New Roman"/>
          <w:color w:val="auto"/>
          <w:sz w:val="24"/>
          <w:szCs w:val="24"/>
        </w:rPr>
        <w:t>新生入学后，经复查符合入学条件者取得学籍，准予注册，由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统一发学生证。</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第二条</w:t>
      </w:r>
      <w:r>
        <w:rPr>
          <w:rFonts w:ascii="宋体" w:hAnsi="宋体" w:eastAsia="宋体" w:cs="Times New Roman"/>
          <w:b/>
          <w:color w:val="auto"/>
          <w:sz w:val="24"/>
          <w:szCs w:val="24"/>
        </w:rPr>
        <w:t xml:space="preserve">  </w:t>
      </w:r>
      <w:r>
        <w:rPr>
          <w:rFonts w:hint="eastAsia" w:ascii="宋体" w:hAnsi="宋体" w:eastAsia="宋体" w:cs="Times New Roman"/>
          <w:color w:val="auto"/>
          <w:sz w:val="24"/>
          <w:szCs w:val="24"/>
        </w:rPr>
        <w:t>高等学校学生证是高等学校学生表明身份、参加学习和其他活动的重要凭证；学生证只限学生本人使用，学生应珍惜、爱护、妥善保管，随身携带，不得转借他人使用或作抵押品。</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第三条</w:t>
      </w:r>
      <w:r>
        <w:rPr>
          <w:rFonts w:ascii="宋体" w:hAnsi="宋体" w:eastAsia="宋体" w:cs="Times New Roman"/>
          <w:b/>
          <w:color w:val="auto"/>
          <w:sz w:val="24"/>
          <w:szCs w:val="24"/>
        </w:rPr>
        <w:t xml:space="preserve">  </w:t>
      </w:r>
      <w:r>
        <w:rPr>
          <w:rFonts w:hint="eastAsia" w:ascii="宋体" w:hAnsi="宋体" w:eastAsia="宋体" w:cs="Times New Roman"/>
          <w:color w:val="auto"/>
          <w:sz w:val="24"/>
          <w:szCs w:val="24"/>
        </w:rPr>
        <w:t>每学期开学两周内，按学生注册管理规定由所在班级将缴清费用学生的学生证收齐登记后统一到</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办理注册手续，在学生证注册栏内加盖注册章，未盖注册章的学生证无效。</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第四条</w:t>
      </w:r>
      <w:r>
        <w:rPr>
          <w:rFonts w:ascii="宋体" w:hAnsi="宋体" w:eastAsia="宋体" w:cs="Times New Roman"/>
          <w:b/>
          <w:color w:val="auto"/>
          <w:sz w:val="24"/>
          <w:szCs w:val="24"/>
        </w:rPr>
        <w:t xml:space="preserve">  </w:t>
      </w:r>
      <w:r>
        <w:rPr>
          <w:rFonts w:hint="eastAsia" w:ascii="宋体" w:hAnsi="宋体" w:eastAsia="宋体" w:cs="Times New Roman"/>
          <w:color w:val="auto"/>
          <w:sz w:val="24"/>
          <w:szCs w:val="24"/>
        </w:rPr>
        <w:t>学生必须妥善保管学生证，如有遗失，学生本人应及时挂失，学生遗失学生证后不报告、不挂失，如发生一切后果，由学生本人负责。补领学生证收取成本费。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具体补证方法如下：</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w:t>
      </w:r>
      <w:r>
        <w:rPr>
          <w:rFonts w:hint="eastAsia" w:ascii="宋体" w:hAnsi="宋体" w:eastAsia="宋体" w:cs="Times New Roman"/>
          <w:color w:val="auto"/>
          <w:sz w:val="24"/>
          <w:szCs w:val="24"/>
          <w:lang w:eastAsia="zh-CN"/>
        </w:rPr>
        <w:t>财务部</w:t>
      </w:r>
      <w:r>
        <w:rPr>
          <w:rFonts w:hint="eastAsia" w:ascii="宋体" w:hAnsi="宋体" w:eastAsia="宋体" w:cs="Times New Roman"/>
          <w:color w:val="auto"/>
          <w:sz w:val="24"/>
          <w:szCs w:val="24"/>
        </w:rPr>
        <w:t>交学生证工本费；</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（二）学生持缴费发票、一张一寸彩色照片到</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领取新证；</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负责核查盖章；</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（四）补证时间为每周二。</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第五条</w:t>
      </w:r>
      <w:r>
        <w:rPr>
          <w:rFonts w:ascii="宋体" w:hAnsi="宋体" w:eastAsia="宋体" w:cs="Times New Roman"/>
          <w:b/>
          <w:color w:val="auto"/>
          <w:sz w:val="24"/>
          <w:szCs w:val="24"/>
        </w:rPr>
        <w:t xml:space="preserve">  </w:t>
      </w:r>
      <w:r>
        <w:rPr>
          <w:rFonts w:hint="eastAsia" w:ascii="宋体" w:hAnsi="宋体" w:eastAsia="宋体" w:cs="Times New Roman"/>
          <w:color w:val="auto"/>
          <w:sz w:val="24"/>
          <w:szCs w:val="24"/>
        </w:rPr>
        <w:t>学生毕业、退学、转学或其他原因注销学籍离校者，应将学生证交回</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注销。</w:t>
      </w:r>
    </w:p>
    <w:p>
      <w:pPr>
        <w:spacing w:line="360" w:lineRule="auto"/>
        <w:ind w:firstLine="480" w:firstLineChars="200"/>
        <w:rPr>
          <w:rFonts w:ascii="Calibri" w:hAnsi="Calibri" w:eastAsia="宋体" w:cs="Times New Roman"/>
          <w:color w:val="auto"/>
          <w:sz w:val="24"/>
          <w:szCs w:val="24"/>
          <w:shd w:val="clear" w:color="auto" w:fill="FFFFFF"/>
        </w:rPr>
      </w:pPr>
    </w:p>
    <w:p>
      <w:pPr>
        <w:spacing w:line="360" w:lineRule="auto"/>
        <w:ind w:firstLine="480" w:firstLineChars="200"/>
        <w:rPr>
          <w:rFonts w:ascii="Calibri" w:hAnsi="Calibri" w:eastAsia="宋体" w:cs="Times New Roman"/>
          <w:color w:val="auto"/>
          <w:sz w:val="24"/>
          <w:szCs w:val="24"/>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ind w:firstLine="420" w:firstLineChars="200"/>
        <w:rPr>
          <w:rFonts w:ascii="Calibri" w:hAnsi="Calibri" w:eastAsia="宋体" w:cs="Times New Roman"/>
          <w:color w:val="auto"/>
          <w:szCs w:val="21"/>
          <w:shd w:val="clear" w:color="auto" w:fill="FFFFFF"/>
        </w:rPr>
      </w:pPr>
    </w:p>
    <w:p>
      <w:pPr>
        <w:spacing w:line="360" w:lineRule="auto"/>
        <w:rPr>
          <w:rFonts w:ascii="Calibri" w:hAnsi="Calibri" w:eastAsia="宋体" w:cs="Times New Roman"/>
          <w:color w:val="auto"/>
          <w:szCs w:val="21"/>
          <w:shd w:val="clear" w:color="auto" w:fill="FFFFFF"/>
        </w:rPr>
      </w:pPr>
    </w:p>
    <w:p>
      <w:pPr>
        <w:pStyle w:val="3"/>
        <w:bidi w:val="0"/>
        <w:jc w:val="center"/>
        <w:rPr>
          <w:color w:val="auto"/>
        </w:rPr>
      </w:pPr>
      <w:bookmarkStart w:id="45" w:name="_Toc13234"/>
      <w:r>
        <w:rPr>
          <w:rFonts w:hint="eastAsia"/>
          <w:color w:val="auto"/>
        </w:rPr>
        <w:t>学生转专业实施办法</w:t>
      </w:r>
      <w:bookmarkEnd w:id="45"/>
    </w:p>
    <w:p>
      <w:pPr>
        <w:tabs>
          <w:tab w:val="left" w:pos="360"/>
        </w:tabs>
        <w:spacing w:line="360" w:lineRule="auto"/>
        <w:ind w:firstLine="480" w:firstLineChars="200"/>
        <w:rPr>
          <w:rFonts w:ascii="宋体" w:hAnsi="Calibri" w:eastAsia="宋体" w:cs="FangSong_GB2312 Identity H"/>
          <w:color w:val="auto"/>
          <w:kern w:val="0"/>
          <w:sz w:val="24"/>
          <w:szCs w:val="21"/>
        </w:rPr>
      </w:pPr>
    </w:p>
    <w:p>
      <w:pPr>
        <w:tabs>
          <w:tab w:val="left" w:pos="360"/>
        </w:tabs>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根据教育部《普通高等学校学生管理规定》和广东省教育厅转学、转专业的相关文件精神要求，为规范我院学生转专业的申请和审批工作，制定本办法。</w:t>
      </w:r>
    </w:p>
    <w:p>
      <w:pPr>
        <w:tabs>
          <w:tab w:val="left" w:pos="360"/>
        </w:tabs>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第一条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转入转出专业的学生人数控制：</w:t>
      </w:r>
    </w:p>
    <w:p>
      <w:pPr>
        <w:tabs>
          <w:tab w:val="left" w:pos="360"/>
        </w:tabs>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（一）少于</w:t>
      </w:r>
      <w:r>
        <w:rPr>
          <w:rFonts w:ascii="宋体" w:hAnsi="宋体" w:eastAsia="宋体" w:cs="FangSong_GB2312 Identity H"/>
          <w:color w:val="auto"/>
          <w:kern w:val="0"/>
          <w:sz w:val="24"/>
          <w:szCs w:val="21"/>
        </w:rPr>
        <w:t>60</w:t>
      </w:r>
      <w:r>
        <w:rPr>
          <w:rFonts w:hint="eastAsia" w:ascii="宋体" w:hAnsi="宋体" w:eastAsia="宋体" w:cs="FangSong_GB2312 Identity H"/>
          <w:color w:val="auto"/>
          <w:kern w:val="0"/>
          <w:sz w:val="24"/>
          <w:szCs w:val="21"/>
        </w:rPr>
        <w:t>人的专业，控制在</w:t>
      </w:r>
      <w:r>
        <w:rPr>
          <w:rFonts w:ascii="宋体" w:hAnsi="宋体" w:eastAsia="宋体" w:cs="FangSong_GB2312 Identity H"/>
          <w:color w:val="auto"/>
          <w:kern w:val="0"/>
          <w:sz w:val="24"/>
          <w:szCs w:val="21"/>
        </w:rPr>
        <w:t>10%</w:t>
      </w:r>
      <w:r>
        <w:rPr>
          <w:rFonts w:hint="eastAsia" w:ascii="宋体" w:hAnsi="宋体" w:eastAsia="宋体" w:cs="FangSong_GB2312 Identity H"/>
          <w:color w:val="auto"/>
          <w:kern w:val="0"/>
          <w:sz w:val="24"/>
          <w:szCs w:val="21"/>
        </w:rPr>
        <w:t>以内；</w:t>
      </w:r>
    </w:p>
    <w:p>
      <w:pPr>
        <w:tabs>
          <w:tab w:val="left" w:pos="360"/>
        </w:tabs>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（二）大于</w:t>
      </w:r>
      <w:r>
        <w:rPr>
          <w:rFonts w:ascii="宋体" w:hAnsi="宋体" w:eastAsia="宋体" w:cs="FangSong_GB2312 Identity H"/>
          <w:color w:val="auto"/>
          <w:kern w:val="0"/>
          <w:sz w:val="24"/>
          <w:szCs w:val="21"/>
        </w:rPr>
        <w:t>60</w:t>
      </w:r>
      <w:r>
        <w:rPr>
          <w:rFonts w:hint="eastAsia" w:ascii="宋体" w:hAnsi="宋体" w:eastAsia="宋体" w:cs="FangSong_GB2312 Identity H"/>
          <w:color w:val="auto"/>
          <w:kern w:val="0"/>
          <w:sz w:val="24"/>
          <w:szCs w:val="21"/>
        </w:rPr>
        <w:t>人的专业，控制在</w:t>
      </w:r>
      <w:r>
        <w:rPr>
          <w:rFonts w:ascii="宋体" w:hAnsi="宋体" w:eastAsia="宋体" w:cs="FangSong_GB2312 Identity H"/>
          <w:color w:val="auto"/>
          <w:kern w:val="0"/>
          <w:sz w:val="24"/>
          <w:szCs w:val="21"/>
        </w:rPr>
        <w:t>15%</w:t>
      </w:r>
      <w:r>
        <w:rPr>
          <w:rFonts w:hint="eastAsia" w:ascii="宋体" w:hAnsi="宋体" w:eastAsia="宋体" w:cs="FangSong_GB2312 Identity H"/>
          <w:color w:val="auto"/>
          <w:kern w:val="0"/>
          <w:sz w:val="24"/>
          <w:szCs w:val="21"/>
        </w:rPr>
        <w:t>以内；</w:t>
      </w:r>
    </w:p>
    <w:p>
      <w:pPr>
        <w:tabs>
          <w:tab w:val="left" w:pos="360"/>
        </w:tabs>
        <w:spacing w:line="360" w:lineRule="auto"/>
        <w:ind w:firstLine="480" w:firstLineChars="200"/>
        <w:rPr>
          <w:rFonts w:ascii="宋体" w:hAnsi="Calibri" w:eastAsia="宋体" w:cs="FangSong_GB2312 Identity H"/>
          <w:color w:val="auto"/>
          <w:kern w:val="0"/>
          <w:sz w:val="24"/>
          <w:szCs w:val="24"/>
        </w:rPr>
      </w:pPr>
      <w:r>
        <w:rPr>
          <w:rFonts w:hint="eastAsia" w:ascii="宋体" w:hAnsi="宋体" w:eastAsia="宋体" w:cs="FangSong_GB2312 Identity H"/>
          <w:color w:val="auto"/>
          <w:kern w:val="0"/>
          <w:sz w:val="24"/>
          <w:szCs w:val="21"/>
        </w:rPr>
        <w:t>（三）</w:t>
      </w:r>
      <w:r>
        <w:rPr>
          <w:rFonts w:hint="eastAsia" w:ascii="Calibri" w:hAnsi="Calibri" w:eastAsia="宋体" w:cs="Times New Roman"/>
          <w:color w:val="auto"/>
          <w:sz w:val="24"/>
          <w:szCs w:val="24"/>
        </w:rPr>
        <w:t>各班总人数原则上不超过</w:t>
      </w:r>
      <w:r>
        <w:rPr>
          <w:rFonts w:ascii="Calibri" w:hAnsi="Calibri" w:eastAsia="宋体" w:cs="Times New Roman"/>
          <w:color w:val="auto"/>
          <w:sz w:val="24"/>
          <w:szCs w:val="24"/>
        </w:rPr>
        <w:t xml:space="preserve"> 70 </w:t>
      </w:r>
      <w:r>
        <w:rPr>
          <w:rFonts w:hint="eastAsia" w:ascii="Calibri" w:hAnsi="Calibri" w:eastAsia="宋体" w:cs="Times New Roman"/>
          <w:color w:val="auto"/>
          <w:sz w:val="24"/>
          <w:szCs w:val="24"/>
        </w:rPr>
        <w:t>人。如某个专业的转入人数超过控制数时，</w:t>
      </w:r>
      <w:r>
        <w:rPr>
          <w:rFonts w:ascii="Calibri" w:hAnsi="Calibri" w:eastAsia="宋体" w:cs="Times New Roman"/>
          <w:color w:val="auto"/>
          <w:sz w:val="24"/>
          <w:szCs w:val="24"/>
        </w:rPr>
        <w:t xml:space="preserve"> </w:t>
      </w:r>
      <w:r>
        <w:rPr>
          <w:rFonts w:hint="eastAsia" w:ascii="Calibri" w:hAnsi="Calibri" w:eastAsia="宋体" w:cs="Times New Roman"/>
          <w:color w:val="auto"/>
          <w:sz w:val="24"/>
          <w:szCs w:val="24"/>
        </w:rPr>
        <w:t>由学院转专业领导小组综合考虑讨论决定。</w:t>
      </w:r>
    </w:p>
    <w:p>
      <w:pPr>
        <w:tabs>
          <w:tab w:val="left" w:pos="360"/>
        </w:tabs>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第二条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实施对象：一年级在校学生。</w:t>
      </w:r>
    </w:p>
    <w:p>
      <w:pPr>
        <w:tabs>
          <w:tab w:val="left" w:pos="360"/>
        </w:tabs>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第三条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受理时限：一年级第一学期的最后一月内接受申请和办理审批手续，其余时间不予受理。经审批同意转专业的学生，统一安排到第二学期开学初跟随转入专业就学。</w:t>
      </w:r>
    </w:p>
    <w:p>
      <w:pPr>
        <w:tabs>
          <w:tab w:val="left" w:pos="360"/>
        </w:tabs>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第四条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申请条件（符合下列条件之一）：</w:t>
      </w:r>
    </w:p>
    <w:p>
      <w:pPr>
        <w:spacing w:line="360" w:lineRule="auto"/>
        <w:ind w:firstLine="480" w:firstLineChars="200"/>
        <w:rPr>
          <w:rFonts w:ascii="Calibri" w:hAnsi="Calibri" w:eastAsia="宋体" w:cs="Times New Roman"/>
          <w:color w:val="auto"/>
          <w:sz w:val="24"/>
          <w:szCs w:val="24"/>
        </w:rPr>
      </w:pPr>
      <w:r>
        <w:rPr>
          <w:rFonts w:ascii="Calibri" w:hAnsi="Calibri" w:eastAsia="宋体" w:cs="Times New Roman"/>
          <w:color w:val="auto"/>
          <w:sz w:val="24"/>
          <w:szCs w:val="24"/>
        </w:rPr>
        <w:t>1.</w:t>
      </w:r>
      <w:r>
        <w:rPr>
          <w:rFonts w:ascii="Calibri" w:hAnsi="Calibri" w:eastAsia="宋体" w:cs="Times New Roman"/>
          <w:color w:val="auto"/>
          <w:sz w:val="24"/>
          <w:szCs w:val="24"/>
        </w:rPr>
        <w:tab/>
      </w:r>
      <w:r>
        <w:rPr>
          <w:rFonts w:hint="eastAsia" w:ascii="Calibri" w:hAnsi="Calibri" w:eastAsia="宋体" w:cs="Times New Roman"/>
          <w:color w:val="auto"/>
          <w:sz w:val="24"/>
          <w:szCs w:val="24"/>
        </w:rPr>
        <w:t>学生成绩：第一学期期末考试全部考查科目合格，全部考试科目合格并总成绩在本专业排前</w:t>
      </w:r>
      <w:r>
        <w:rPr>
          <w:rFonts w:ascii="Calibri" w:hAnsi="Calibri" w:eastAsia="宋体" w:cs="Times New Roman"/>
          <w:color w:val="auto"/>
          <w:sz w:val="24"/>
          <w:szCs w:val="24"/>
        </w:rPr>
        <w:t xml:space="preserve"> 30%</w:t>
      </w:r>
      <w:r>
        <w:rPr>
          <w:rFonts w:hint="eastAsia" w:ascii="Calibri" w:hAnsi="Calibri" w:eastAsia="宋体" w:cs="Times New Roman"/>
          <w:color w:val="auto"/>
          <w:sz w:val="24"/>
          <w:szCs w:val="24"/>
        </w:rPr>
        <w:t>（含</w:t>
      </w:r>
      <w:r>
        <w:rPr>
          <w:rFonts w:ascii="Calibri" w:hAnsi="Calibri" w:eastAsia="宋体" w:cs="Times New Roman"/>
          <w:color w:val="auto"/>
          <w:sz w:val="24"/>
          <w:szCs w:val="24"/>
        </w:rPr>
        <w:t xml:space="preserve"> 30%</w:t>
      </w:r>
      <w:r>
        <w:rPr>
          <w:rFonts w:hint="eastAsia" w:ascii="Calibri" w:hAnsi="Calibri" w:eastAsia="宋体" w:cs="Times New Roman"/>
          <w:color w:val="auto"/>
          <w:sz w:val="24"/>
          <w:szCs w:val="24"/>
        </w:rPr>
        <w:t>）。</w:t>
      </w:r>
    </w:p>
    <w:p>
      <w:pPr>
        <w:spacing w:line="360" w:lineRule="auto"/>
        <w:ind w:firstLine="480" w:firstLineChars="200"/>
        <w:rPr>
          <w:rFonts w:ascii="Calibri" w:hAnsi="Calibri" w:eastAsia="宋体" w:cs="Times New Roman"/>
          <w:color w:val="auto"/>
          <w:sz w:val="24"/>
          <w:szCs w:val="24"/>
        </w:rPr>
      </w:pPr>
      <w:r>
        <w:rPr>
          <w:rFonts w:ascii="Calibri" w:hAnsi="Calibri" w:eastAsia="宋体" w:cs="Times New Roman"/>
          <w:color w:val="auto"/>
          <w:sz w:val="24"/>
          <w:szCs w:val="24"/>
        </w:rPr>
        <w:t>2.</w:t>
      </w:r>
      <w:r>
        <w:rPr>
          <w:rFonts w:hint="eastAsia" w:ascii="Calibri" w:hAnsi="Calibri" w:eastAsia="宋体" w:cs="Times New Roman"/>
          <w:color w:val="auto"/>
          <w:sz w:val="24"/>
          <w:szCs w:val="24"/>
        </w:rPr>
        <w:t>学生经严格考核确有专长，转专业更能发挥其专长者（</w:t>
      </w:r>
      <w:r>
        <w:rPr>
          <w:rFonts w:hint="eastAsia" w:ascii="宋体" w:hAnsi="宋体" w:eastAsia="宋体" w:cs="仿宋_GB2312"/>
          <w:color w:val="auto"/>
          <w:sz w:val="24"/>
          <w:szCs w:val="24"/>
        </w:rPr>
        <w:t>应提交其专长的相关证明材料，如相关专业技能竞赛参赛获奖证书等，</w:t>
      </w:r>
      <w:r>
        <w:rPr>
          <w:rFonts w:hint="eastAsia" w:ascii="宋体" w:hAnsi="宋体" w:eastAsia="宋体" w:cs="Times New Roman"/>
          <w:color w:val="auto"/>
          <w:sz w:val="24"/>
          <w:szCs w:val="24"/>
        </w:rPr>
        <w:t>由</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提供考核方案并报批</w:t>
      </w:r>
      <w:r>
        <w:rPr>
          <w:rFonts w:hint="eastAsia" w:ascii="Calibri" w:hAnsi="Calibri" w:eastAsia="宋体" w:cs="Times New Roman"/>
          <w:color w:val="auto"/>
          <w:sz w:val="24"/>
          <w:szCs w:val="24"/>
        </w:rPr>
        <w:t>）；</w:t>
      </w:r>
    </w:p>
    <w:p>
      <w:pPr>
        <w:spacing w:line="360" w:lineRule="auto"/>
        <w:ind w:firstLine="480" w:firstLineChars="200"/>
        <w:rPr>
          <w:rFonts w:ascii="Calibri" w:hAnsi="Calibri" w:eastAsia="宋体" w:cs="Times New Roman"/>
          <w:color w:val="auto"/>
          <w:sz w:val="24"/>
          <w:szCs w:val="24"/>
        </w:rPr>
      </w:pPr>
      <w:r>
        <w:rPr>
          <w:rFonts w:ascii="Calibri" w:hAnsi="Calibri" w:eastAsia="宋体" w:cs="Times New Roman"/>
          <w:color w:val="auto"/>
          <w:sz w:val="24"/>
          <w:szCs w:val="24"/>
        </w:rPr>
        <w:t>3.</w:t>
      </w:r>
      <w:r>
        <w:rPr>
          <w:rFonts w:ascii="Calibri" w:hAnsi="Calibri" w:eastAsia="宋体" w:cs="Times New Roman"/>
          <w:color w:val="auto"/>
          <w:sz w:val="24"/>
          <w:szCs w:val="24"/>
        </w:rPr>
        <w:tab/>
      </w:r>
      <w:r>
        <w:rPr>
          <w:rFonts w:hint="eastAsia" w:ascii="Calibri" w:hAnsi="Calibri" w:eastAsia="宋体" w:cs="Times New Roman"/>
          <w:color w:val="auto"/>
          <w:sz w:val="24"/>
          <w:szCs w:val="24"/>
        </w:rPr>
        <w:t>学生入学后发现有某种疾病或生理缺陷，经学院指定二级甲等以上医院诊断证明不能在原专业学习，但尚能在本院其它专业学习者；</w:t>
      </w:r>
    </w:p>
    <w:p>
      <w:pPr>
        <w:spacing w:line="360" w:lineRule="auto"/>
        <w:ind w:firstLine="484" w:firstLineChars="202"/>
        <w:rPr>
          <w:rFonts w:ascii="Calibri" w:hAnsi="Calibri" w:eastAsia="宋体" w:cs="Times New Roman"/>
          <w:color w:val="auto"/>
          <w:sz w:val="24"/>
          <w:szCs w:val="24"/>
        </w:rPr>
      </w:pPr>
      <w:r>
        <w:rPr>
          <w:rFonts w:ascii="Calibri" w:hAnsi="Calibri" w:eastAsia="宋体" w:cs="Times New Roman"/>
          <w:color w:val="auto"/>
          <w:sz w:val="24"/>
          <w:szCs w:val="24"/>
        </w:rPr>
        <w:t>4.</w:t>
      </w:r>
      <w:r>
        <w:rPr>
          <w:rFonts w:ascii="Calibri" w:hAnsi="Calibri" w:eastAsia="宋体" w:cs="Times New Roman"/>
          <w:color w:val="auto"/>
          <w:sz w:val="24"/>
          <w:szCs w:val="24"/>
        </w:rPr>
        <w:tab/>
      </w:r>
      <w:r>
        <w:rPr>
          <w:rFonts w:hint="eastAsia" w:ascii="Calibri" w:hAnsi="Calibri" w:eastAsia="宋体" w:cs="Times New Roman"/>
          <w:color w:val="auto"/>
          <w:sz w:val="24"/>
          <w:szCs w:val="24"/>
        </w:rPr>
        <w:t>学生就读原专业确有某种特殊困难，经审核确认无法继续原专业学习者（由领导小组审核，领导小组组长签字）。</w:t>
      </w:r>
    </w:p>
    <w:p>
      <w:pPr>
        <w:tabs>
          <w:tab w:val="left" w:pos="360"/>
        </w:tabs>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第五条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具有下列情况之一者，不受理转专业申请：</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（一）新生入学未满一学期或毕业前一年的；</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（二）由外校转学进入</w:t>
      </w:r>
      <w:r>
        <w:rPr>
          <w:rFonts w:hint="eastAsia" w:ascii="宋体" w:hAnsi="宋体" w:eastAsia="宋体" w:cs="Times New Roman"/>
          <w:color w:val="auto"/>
          <w:sz w:val="24"/>
          <w:szCs w:val="24"/>
        </w:rPr>
        <w:t>我院</w:t>
      </w:r>
      <w:r>
        <w:rPr>
          <w:rFonts w:hint="eastAsia" w:ascii="Times New Roman" w:hAnsi="Times New Roman" w:eastAsia="宋体" w:cs="Times New Roman"/>
          <w:color w:val="auto"/>
          <w:kern w:val="0"/>
          <w:sz w:val="24"/>
          <w:szCs w:val="24"/>
        </w:rPr>
        <w:t>就读者；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（三）学生处于休学、保留学籍期间，或已转过一次专业者；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（四）在校期间有违纪等行为，受处分者；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（五）申请拟转入的专业没有学位者；</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（六）招生时确定为定向、委托培养者；</w:t>
      </w:r>
    </w:p>
    <w:p>
      <w:pPr>
        <w:spacing w:line="360" w:lineRule="auto"/>
        <w:ind w:firstLine="484" w:firstLineChars="202"/>
        <w:rPr>
          <w:rFonts w:ascii="宋体" w:hAnsi="Calibri" w:eastAsia="宋体" w:cs="Times New Roman"/>
          <w:color w:val="auto"/>
          <w:sz w:val="24"/>
          <w:szCs w:val="24"/>
        </w:rPr>
      </w:pPr>
      <w:r>
        <w:rPr>
          <w:rFonts w:hint="eastAsia" w:ascii="宋体" w:hAnsi="宋体" w:eastAsia="宋体" w:cs="Times New Roman"/>
          <w:color w:val="auto"/>
          <w:sz w:val="24"/>
          <w:szCs w:val="24"/>
        </w:rPr>
        <w:t>（七）</w:t>
      </w:r>
      <w:r>
        <w:rPr>
          <w:rFonts w:hint="eastAsia" w:ascii="Calibri" w:hAnsi="Calibri" w:eastAsia="宋体" w:cs="Times New Roman"/>
          <w:color w:val="auto"/>
          <w:sz w:val="24"/>
          <w:szCs w:val="24"/>
        </w:rPr>
        <w:t>“</w:t>
      </w:r>
      <w:r>
        <w:rPr>
          <w:rFonts w:ascii="Calibri" w:hAnsi="Calibri" w:eastAsia="宋体" w:cs="Times New Roman"/>
          <w:color w:val="auto"/>
          <w:sz w:val="24"/>
          <w:szCs w:val="24"/>
        </w:rPr>
        <w:t>3+</w:t>
      </w:r>
      <w:r>
        <w:rPr>
          <w:rFonts w:hint="eastAsia" w:ascii="Calibri" w:hAnsi="Calibri" w:eastAsia="宋体" w:cs="Times New Roman"/>
          <w:color w:val="auto"/>
          <w:sz w:val="24"/>
          <w:szCs w:val="24"/>
        </w:rPr>
        <w:t>证书”考生所持的“证书”不符合转入专业的证书要求的（“证书”以当年广东省招生办公室编著的《广东省普通高等学校招生专业目录</w:t>
      </w:r>
      <w:r>
        <w:rPr>
          <w:rFonts w:ascii="Calibri" w:hAnsi="Calibri" w:eastAsia="宋体" w:cs="Times New Roman"/>
          <w:color w:val="auto"/>
          <w:sz w:val="24"/>
          <w:szCs w:val="24"/>
        </w:rPr>
        <w:t>—[3+</w:t>
      </w:r>
      <w:r>
        <w:rPr>
          <w:rFonts w:hint="eastAsia" w:ascii="Calibri" w:hAnsi="Calibri" w:eastAsia="宋体" w:cs="Times New Roman"/>
          <w:color w:val="auto"/>
          <w:sz w:val="24"/>
          <w:szCs w:val="24"/>
        </w:rPr>
        <w:t>专业技能课程证书</w:t>
      </w:r>
      <w:r>
        <w:rPr>
          <w:rFonts w:ascii="Calibri" w:hAnsi="Calibri" w:eastAsia="宋体" w:cs="Times New Roman"/>
          <w:color w:val="auto"/>
          <w:sz w:val="24"/>
          <w:szCs w:val="24"/>
        </w:rPr>
        <w:t>]</w:t>
      </w:r>
      <w:r>
        <w:rPr>
          <w:rFonts w:hint="eastAsia" w:ascii="Calibri" w:hAnsi="Calibri" w:eastAsia="宋体" w:cs="Times New Roman"/>
          <w:color w:val="auto"/>
          <w:sz w:val="24"/>
          <w:szCs w:val="24"/>
        </w:rPr>
        <w:t>版》为准）；</w:t>
      </w:r>
    </w:p>
    <w:p>
      <w:pPr>
        <w:autoSpaceDE w:val="0"/>
        <w:autoSpaceDN w:val="0"/>
        <w:adjustRightInd w:val="0"/>
        <w:snapToGrid w:val="0"/>
        <w:spacing w:line="360" w:lineRule="auto"/>
        <w:ind w:firstLine="480" w:firstLineChars="200"/>
        <w:rPr>
          <w:rFonts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rPr>
        <w:t>（八）无正当理由者及其他不符合学院转专业规定者。</w:t>
      </w:r>
    </w:p>
    <w:p>
      <w:pPr>
        <w:tabs>
          <w:tab w:val="left" w:pos="360"/>
        </w:tabs>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第六条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学生转专业办理的具体手续如下：</w:t>
      </w:r>
    </w:p>
    <w:p>
      <w:pPr>
        <w:spacing w:line="360" w:lineRule="auto"/>
        <w:ind w:firstLine="484" w:firstLineChars="202"/>
        <w:rPr>
          <w:rFonts w:ascii="Calibri" w:hAnsi="Calibri" w:eastAsia="宋体" w:cs="Times New Roman"/>
          <w:color w:val="auto"/>
          <w:sz w:val="24"/>
          <w:szCs w:val="24"/>
        </w:rPr>
      </w:pPr>
      <w:r>
        <w:rPr>
          <w:rFonts w:hint="eastAsia" w:ascii="Calibri" w:hAnsi="Calibri" w:eastAsia="宋体" w:cs="Times New Roman"/>
          <w:color w:val="auto"/>
          <w:sz w:val="24"/>
          <w:szCs w:val="24"/>
        </w:rPr>
        <w:t>（一）转专业学生必须呈交转专业书面申请书（</w:t>
      </w:r>
      <w:r>
        <w:rPr>
          <w:rFonts w:ascii="Calibri" w:hAnsi="Calibri" w:eastAsia="宋体" w:cs="Times New Roman"/>
          <w:color w:val="auto"/>
          <w:sz w:val="24"/>
          <w:szCs w:val="24"/>
        </w:rPr>
        <w:t xml:space="preserve">A4 </w:t>
      </w:r>
      <w:r>
        <w:rPr>
          <w:rFonts w:hint="eastAsia" w:ascii="Calibri" w:hAnsi="Calibri" w:eastAsia="宋体" w:cs="Times New Roman"/>
          <w:color w:val="auto"/>
          <w:sz w:val="24"/>
          <w:szCs w:val="24"/>
        </w:rPr>
        <w:t>纸），并在申请书上署上本人签名，连同《广东江门中医药职业学院学生学籍变动审批表》、《广东江门中医药职业学院转专业审批表》在第一学年第一学期最后一个月上交至学生所在</w:t>
      </w:r>
      <w:r>
        <w:rPr>
          <w:rFonts w:hint="eastAsia" w:ascii="Calibri" w:hAnsi="Calibri" w:eastAsia="宋体" w:cs="Times New Roman"/>
          <w:color w:val="auto"/>
          <w:sz w:val="24"/>
          <w:szCs w:val="24"/>
          <w:lang w:eastAsia="zh-CN"/>
        </w:rPr>
        <w:t>二级学院</w:t>
      </w:r>
      <w:r>
        <w:rPr>
          <w:rFonts w:hint="eastAsia" w:ascii="Calibri" w:hAnsi="Calibri" w:eastAsia="宋体" w:cs="Times New Roman"/>
          <w:color w:val="auto"/>
          <w:sz w:val="24"/>
          <w:szCs w:val="24"/>
        </w:rPr>
        <w:t>汇总；</w:t>
      </w:r>
    </w:p>
    <w:p>
      <w:pPr>
        <w:spacing w:line="360" w:lineRule="auto"/>
        <w:ind w:firstLine="484" w:firstLineChars="202"/>
        <w:rPr>
          <w:rFonts w:ascii="Calibri" w:hAnsi="Calibri" w:eastAsia="宋体" w:cs="Times New Roman"/>
          <w:color w:val="auto"/>
          <w:sz w:val="24"/>
          <w:szCs w:val="24"/>
        </w:rPr>
      </w:pPr>
      <w:r>
        <w:rPr>
          <w:rFonts w:hint="eastAsia" w:ascii="Calibri" w:hAnsi="Calibri" w:eastAsia="宋体" w:cs="Times New Roman"/>
          <w:color w:val="auto"/>
          <w:sz w:val="24"/>
          <w:szCs w:val="24"/>
        </w:rPr>
        <w:t>（二）相</w:t>
      </w:r>
      <w:r>
        <w:rPr>
          <w:rFonts w:hint="eastAsia" w:ascii="Calibri" w:hAnsi="Calibri" w:eastAsia="宋体" w:cs="Times New Roman"/>
          <w:color w:val="auto"/>
          <w:sz w:val="24"/>
          <w:szCs w:val="24"/>
          <w:lang w:eastAsia="zh-CN"/>
        </w:rPr>
        <w:t>关系</w:t>
      </w:r>
      <w:r>
        <w:rPr>
          <w:rFonts w:hint="eastAsia" w:ascii="Calibri" w:hAnsi="Calibri" w:eastAsia="宋体" w:cs="Times New Roman"/>
          <w:color w:val="auto"/>
          <w:sz w:val="24"/>
          <w:szCs w:val="24"/>
        </w:rPr>
        <w:t>成立本</w:t>
      </w:r>
      <w:r>
        <w:rPr>
          <w:rFonts w:hint="eastAsia" w:ascii="Calibri" w:hAnsi="Calibri" w:eastAsia="宋体" w:cs="Times New Roman"/>
          <w:color w:val="auto"/>
          <w:sz w:val="24"/>
          <w:szCs w:val="24"/>
          <w:lang w:eastAsia="zh-CN"/>
        </w:rPr>
        <w:t>二级学院</w:t>
      </w:r>
      <w:r>
        <w:rPr>
          <w:rFonts w:hint="eastAsia" w:ascii="Calibri" w:hAnsi="Calibri" w:eastAsia="宋体" w:cs="Times New Roman"/>
          <w:color w:val="auto"/>
          <w:sz w:val="24"/>
          <w:szCs w:val="24"/>
        </w:rPr>
        <w:t>转专业工作领导小组和考核小组，对申请转专业学生进行考核。</w:t>
      </w:r>
      <w:r>
        <w:rPr>
          <w:rFonts w:hint="eastAsia" w:ascii="Calibri" w:hAnsi="Calibri" w:eastAsia="宋体" w:cs="Times New Roman"/>
          <w:color w:val="auto"/>
          <w:sz w:val="24"/>
          <w:szCs w:val="24"/>
          <w:lang w:eastAsia="zh-CN"/>
        </w:rPr>
        <w:t>二级学院</w:t>
      </w:r>
      <w:r>
        <w:rPr>
          <w:rFonts w:hint="eastAsia" w:ascii="Calibri" w:hAnsi="Calibri" w:eastAsia="宋体" w:cs="Times New Roman"/>
          <w:color w:val="auto"/>
          <w:sz w:val="24"/>
          <w:szCs w:val="24"/>
        </w:rPr>
        <w:t>考核成绩×40%+期末成绩×60%（折算成标准分）为考核总分，考核总分排名为转专业依据。</w:t>
      </w:r>
    </w:p>
    <w:p>
      <w:pPr>
        <w:spacing w:line="360" w:lineRule="auto"/>
        <w:ind w:firstLine="484" w:firstLineChars="202"/>
        <w:rPr>
          <w:rFonts w:ascii="Calibri" w:hAnsi="Calibri" w:eastAsia="宋体" w:cs="Times New Roman"/>
          <w:color w:val="auto"/>
          <w:sz w:val="24"/>
          <w:szCs w:val="24"/>
        </w:rPr>
      </w:pPr>
      <w:r>
        <w:rPr>
          <w:rFonts w:hint="eastAsia" w:ascii="Calibri" w:hAnsi="Calibri" w:eastAsia="宋体" w:cs="Times New Roman"/>
          <w:color w:val="auto"/>
          <w:sz w:val="24"/>
          <w:szCs w:val="24"/>
        </w:rPr>
        <w:t>（三）</w:t>
      </w:r>
      <w:r>
        <w:rPr>
          <w:rFonts w:hint="eastAsia" w:ascii="Calibri" w:hAnsi="Calibri" w:eastAsia="宋体" w:cs="Times New Roman"/>
          <w:color w:val="auto"/>
          <w:sz w:val="24"/>
          <w:szCs w:val="24"/>
          <w:lang w:eastAsia="zh-CN"/>
        </w:rPr>
        <w:t>二级学院</w:t>
      </w:r>
      <w:r>
        <w:rPr>
          <w:rFonts w:hint="eastAsia" w:ascii="Calibri" w:hAnsi="Calibri" w:eastAsia="宋体" w:cs="Times New Roman"/>
          <w:color w:val="auto"/>
          <w:sz w:val="24"/>
          <w:szCs w:val="24"/>
        </w:rPr>
        <w:t>负责人对《广东江门中医药职业学院学生转专业审批表》及《广东江门中医药职业学院学生学籍变动审批表》进行审批，结合转专业考核情况加具意见后在第一学年第二学期开学前统一交</w:t>
      </w:r>
      <w:r>
        <w:rPr>
          <w:rFonts w:hint="eastAsia" w:ascii="Calibri" w:hAnsi="Calibri" w:eastAsia="宋体" w:cs="Times New Roman"/>
          <w:color w:val="auto"/>
          <w:sz w:val="24"/>
          <w:szCs w:val="24"/>
          <w:lang w:eastAsia="zh-CN"/>
        </w:rPr>
        <w:t>教务部</w:t>
      </w:r>
      <w:r>
        <w:rPr>
          <w:rFonts w:hint="eastAsia" w:ascii="Calibri" w:hAnsi="Calibri" w:eastAsia="宋体" w:cs="Times New Roman"/>
          <w:color w:val="auto"/>
          <w:sz w:val="24"/>
          <w:szCs w:val="24"/>
        </w:rPr>
        <w:t>；</w:t>
      </w:r>
    </w:p>
    <w:p>
      <w:pPr>
        <w:spacing w:line="360" w:lineRule="auto"/>
        <w:ind w:firstLine="484" w:firstLineChars="202"/>
        <w:rPr>
          <w:rFonts w:ascii="Calibri" w:hAnsi="Calibri" w:eastAsia="宋体" w:cs="Times New Roman"/>
          <w:color w:val="auto"/>
          <w:sz w:val="24"/>
          <w:szCs w:val="24"/>
        </w:rPr>
      </w:pPr>
      <w:r>
        <w:rPr>
          <w:rFonts w:hint="eastAsia" w:ascii="Calibri" w:hAnsi="Calibri" w:eastAsia="宋体" w:cs="Times New Roman"/>
          <w:color w:val="auto"/>
          <w:sz w:val="24"/>
          <w:szCs w:val="24"/>
        </w:rPr>
        <w:t>（四）</w:t>
      </w:r>
      <w:r>
        <w:rPr>
          <w:rFonts w:hint="eastAsia" w:ascii="Calibri" w:hAnsi="Calibri" w:eastAsia="宋体" w:cs="Times New Roman"/>
          <w:color w:val="auto"/>
          <w:sz w:val="24"/>
          <w:szCs w:val="24"/>
          <w:lang w:eastAsia="zh-CN"/>
        </w:rPr>
        <w:t>教务部</w:t>
      </w:r>
      <w:r>
        <w:rPr>
          <w:rFonts w:hint="eastAsia" w:ascii="Calibri" w:hAnsi="Calibri" w:eastAsia="宋体" w:cs="Times New Roman"/>
          <w:color w:val="auto"/>
          <w:sz w:val="24"/>
          <w:szCs w:val="24"/>
        </w:rPr>
        <w:t>对转专业申请是否符合条件进行审核，综合第一学期期末成绩、特殊原因和条件等，排出顺序名单，必要时召开领导小组会议研究确定转专业名单，加具意见后呈分管院领导及领导小组组长审批；</w:t>
      </w:r>
    </w:p>
    <w:p>
      <w:pPr>
        <w:spacing w:line="360" w:lineRule="auto"/>
        <w:ind w:firstLine="484" w:firstLineChars="202"/>
        <w:rPr>
          <w:rFonts w:ascii="Calibri" w:hAnsi="Calibri" w:eastAsia="宋体" w:cs="Times New Roman"/>
          <w:color w:val="auto"/>
          <w:sz w:val="24"/>
          <w:szCs w:val="24"/>
        </w:rPr>
      </w:pPr>
      <w:r>
        <w:rPr>
          <w:rFonts w:hint="eastAsia" w:ascii="Calibri" w:hAnsi="Calibri" w:eastAsia="宋体" w:cs="Times New Roman"/>
          <w:color w:val="auto"/>
          <w:sz w:val="24"/>
          <w:szCs w:val="24"/>
        </w:rPr>
        <w:t>（五）由</w:t>
      </w:r>
      <w:r>
        <w:rPr>
          <w:rFonts w:hint="eastAsia" w:ascii="Calibri" w:hAnsi="Calibri" w:eastAsia="宋体" w:cs="Times New Roman"/>
          <w:color w:val="auto"/>
          <w:sz w:val="24"/>
          <w:szCs w:val="24"/>
          <w:lang w:eastAsia="zh-CN"/>
        </w:rPr>
        <w:t>教务部</w:t>
      </w:r>
      <w:r>
        <w:rPr>
          <w:rFonts w:hint="eastAsia" w:ascii="Calibri" w:hAnsi="Calibri" w:eastAsia="宋体" w:cs="Times New Roman"/>
          <w:color w:val="auto"/>
          <w:sz w:val="24"/>
          <w:szCs w:val="24"/>
        </w:rPr>
        <w:t>公示转专业审批结果，公示（在第二学期开学第一周进行公示，</w:t>
      </w:r>
      <w:r>
        <w:rPr>
          <w:rFonts w:ascii="Calibri" w:hAnsi="Calibri" w:eastAsia="宋体" w:cs="Times New Roman"/>
          <w:color w:val="auto"/>
          <w:sz w:val="24"/>
          <w:szCs w:val="24"/>
        </w:rPr>
        <w:t xml:space="preserve">5 </w:t>
      </w:r>
      <w:r>
        <w:rPr>
          <w:rFonts w:hint="eastAsia" w:ascii="Calibri" w:hAnsi="Calibri" w:eastAsia="宋体" w:cs="Times New Roman"/>
          <w:color w:val="auto"/>
          <w:sz w:val="24"/>
          <w:szCs w:val="24"/>
        </w:rPr>
        <w:t>个工作日）无异议后，办理转专业手续；</w:t>
      </w:r>
    </w:p>
    <w:p>
      <w:pPr>
        <w:spacing w:line="360" w:lineRule="auto"/>
        <w:ind w:firstLine="484" w:firstLineChars="202"/>
        <w:rPr>
          <w:rFonts w:ascii="Calibri" w:hAnsi="Calibri" w:eastAsia="宋体" w:cs="Times New Roman"/>
          <w:color w:val="auto"/>
          <w:sz w:val="24"/>
          <w:szCs w:val="24"/>
        </w:rPr>
      </w:pPr>
      <w:r>
        <w:rPr>
          <w:rFonts w:hint="eastAsia" w:ascii="Calibri" w:hAnsi="Calibri" w:eastAsia="宋体" w:cs="Times New Roman"/>
          <w:color w:val="auto"/>
          <w:sz w:val="24"/>
          <w:szCs w:val="24"/>
        </w:rPr>
        <w:t>（六）转专业手续办好后，由各</w:t>
      </w:r>
      <w:r>
        <w:rPr>
          <w:rFonts w:hint="eastAsia" w:ascii="Calibri" w:hAnsi="Calibri" w:eastAsia="宋体" w:cs="Times New Roman"/>
          <w:color w:val="auto"/>
          <w:sz w:val="24"/>
          <w:szCs w:val="24"/>
          <w:lang w:eastAsia="zh-CN"/>
        </w:rPr>
        <w:t>二级学院</w:t>
      </w:r>
      <w:r>
        <w:rPr>
          <w:rFonts w:hint="eastAsia" w:ascii="Calibri" w:hAnsi="Calibri" w:eastAsia="宋体" w:cs="Times New Roman"/>
          <w:color w:val="auto"/>
          <w:sz w:val="24"/>
          <w:szCs w:val="24"/>
        </w:rPr>
        <w:t>对新转入的学生的学籍、学生证、注册等到</w:t>
      </w:r>
      <w:r>
        <w:rPr>
          <w:rFonts w:hint="eastAsia" w:ascii="Calibri" w:hAnsi="Calibri" w:eastAsia="宋体" w:cs="Times New Roman"/>
          <w:color w:val="auto"/>
          <w:sz w:val="24"/>
          <w:szCs w:val="24"/>
          <w:lang w:eastAsia="zh-CN"/>
        </w:rPr>
        <w:t>教务部</w:t>
      </w:r>
      <w:r>
        <w:rPr>
          <w:rFonts w:hint="eastAsia" w:ascii="Calibri" w:hAnsi="Calibri" w:eastAsia="宋体" w:cs="Times New Roman"/>
          <w:color w:val="auto"/>
          <w:sz w:val="24"/>
          <w:szCs w:val="24"/>
        </w:rPr>
        <w:t>统一办理。</w:t>
      </w:r>
    </w:p>
    <w:p>
      <w:pPr>
        <w:tabs>
          <w:tab w:val="left" w:pos="360"/>
        </w:tabs>
        <w:spacing w:line="360" w:lineRule="auto"/>
        <w:ind w:firstLine="482" w:firstLineChars="200"/>
        <w:rPr>
          <w:rFonts w:ascii="宋体" w:hAnsi="Calibri" w:eastAsia="宋体" w:cs="FangSong_GB2312 Identity H"/>
          <w:color w:val="auto"/>
          <w:kern w:val="0"/>
          <w:sz w:val="24"/>
          <w:szCs w:val="21"/>
        </w:rPr>
      </w:pPr>
      <w:r>
        <w:rPr>
          <w:rFonts w:hint="eastAsia" w:ascii="宋体" w:hAnsi="宋体" w:eastAsia="宋体" w:cs="FangSong_GB2312 Identity H"/>
          <w:b/>
          <w:color w:val="auto"/>
          <w:kern w:val="0"/>
          <w:sz w:val="24"/>
          <w:szCs w:val="21"/>
        </w:rPr>
        <w:t>第七条</w:t>
      </w:r>
      <w:r>
        <w:rPr>
          <w:rFonts w:ascii="宋体" w:hAnsi="宋体" w:eastAsia="宋体" w:cs="FangSong_GB2312 Identity H"/>
          <w:color w:val="auto"/>
          <w:kern w:val="0"/>
          <w:sz w:val="24"/>
          <w:szCs w:val="21"/>
        </w:rPr>
        <w:t xml:space="preserve">  </w:t>
      </w:r>
      <w:r>
        <w:rPr>
          <w:rFonts w:hint="eastAsia" w:ascii="宋体" w:hAnsi="宋体" w:eastAsia="宋体" w:cs="FangSong_GB2312 Identity H"/>
          <w:color w:val="auto"/>
          <w:kern w:val="0"/>
          <w:sz w:val="24"/>
          <w:szCs w:val="21"/>
        </w:rPr>
        <w:t>管理</w:t>
      </w:r>
    </w:p>
    <w:p>
      <w:pPr>
        <w:tabs>
          <w:tab w:val="left" w:pos="360"/>
        </w:tabs>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一）学生在校期间只能申请办理一次转专业。经批准转入新专业的学生，不得再次申请转专业。学生的学生证、学籍表随转入班级而更改，学号不再更改。原专业所建立的学籍档案材料和转专业的有关材料一并存入该生的人事档案；</w:t>
      </w:r>
    </w:p>
    <w:p>
      <w:pPr>
        <w:tabs>
          <w:tab w:val="left" w:pos="360"/>
        </w:tabs>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（二）申请转专业的学生必须参加原专业的期终课程考试。无故旷考、考试不及格者按学籍管理有关规定处理外，同时取消其转专业资格；</w:t>
      </w:r>
    </w:p>
    <w:p>
      <w:pPr>
        <w:tabs>
          <w:tab w:val="left" w:pos="360"/>
        </w:tabs>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三）学生在原专业所学的课程与转入专业的必修课程和限选课程在课程内容、层次、学分数高于或相同的情况下，则成绩和学分有效，否则应予重修。对转入专业教学计划中的必修课程和限选课程，如学生在原专业未修，应予补修；</w:t>
      </w:r>
    </w:p>
    <w:p>
      <w:pPr>
        <w:tabs>
          <w:tab w:val="left" w:pos="360"/>
        </w:tabs>
        <w:spacing w:line="360" w:lineRule="auto"/>
        <w:ind w:firstLine="480" w:firstLineChars="200"/>
        <w:rPr>
          <w:rFonts w:ascii="宋体" w:hAnsi="Calibri" w:eastAsia="宋体" w:cs="FangSong_GB2312 Identity H"/>
          <w:color w:val="auto"/>
          <w:kern w:val="0"/>
          <w:sz w:val="24"/>
          <w:szCs w:val="21"/>
        </w:rPr>
      </w:pPr>
      <w:r>
        <w:rPr>
          <w:rFonts w:hint="eastAsia" w:ascii="宋体" w:hAnsi="宋体" w:eastAsia="宋体" w:cs="FangSong_GB2312 Identity H"/>
          <w:color w:val="auto"/>
          <w:kern w:val="0"/>
          <w:sz w:val="24"/>
          <w:szCs w:val="21"/>
        </w:rPr>
        <w:t>（四）学生转入新专业后，学习要求、教学及其它各项管理均与所在班级的学生同等对待；</w:t>
      </w:r>
    </w:p>
    <w:p>
      <w:pPr>
        <w:spacing w:line="360" w:lineRule="auto"/>
        <w:ind w:firstLine="480" w:firstLineChars="200"/>
        <w:rPr>
          <w:rFonts w:ascii="Calibri" w:hAnsi="Calibri" w:eastAsia="宋体" w:cs="Times New Roman"/>
          <w:color w:val="auto"/>
        </w:rPr>
      </w:pPr>
      <w:r>
        <w:rPr>
          <w:rFonts w:hint="eastAsia" w:ascii="宋体" w:hAnsi="宋体" w:eastAsia="宋体" w:cs="FangSong_GB2312 Identity H"/>
          <w:color w:val="auto"/>
          <w:kern w:val="0"/>
          <w:sz w:val="24"/>
          <w:szCs w:val="21"/>
        </w:rPr>
        <w:t>（五）转入新专业的学生，从转入的学期起，按转入专业的收费标准缴交学费及其它费用。教材按转入的新专业发放。</w:t>
      </w:r>
    </w:p>
    <w:p>
      <w:pPr>
        <w:pStyle w:val="15"/>
        <w:rPr>
          <w:rFonts w:cs="宋体"/>
          <w:color w:val="auto"/>
          <w:szCs w:val="21"/>
        </w:rPr>
      </w:pPr>
      <w:r>
        <w:rPr>
          <w:rFonts w:cs="宋体"/>
          <w:color w:val="auto"/>
          <w:szCs w:val="21"/>
        </w:rPr>
        <w:br w:type="page"/>
      </w:r>
    </w:p>
    <w:p>
      <w:pPr>
        <w:pStyle w:val="2"/>
        <w:bidi w:val="0"/>
        <w:jc w:val="center"/>
        <w:rPr>
          <w:rFonts w:hint="eastAsia"/>
          <w:color w:val="auto"/>
        </w:rPr>
      </w:pPr>
      <w:bookmarkStart w:id="46" w:name="_Toc18056"/>
      <w:r>
        <w:rPr>
          <w:rFonts w:hint="eastAsia"/>
          <w:color w:val="auto"/>
        </w:rPr>
        <w:t>第四部分  教学质量监控</w:t>
      </w:r>
      <w:bookmarkEnd w:id="46"/>
    </w:p>
    <w:p>
      <w:pPr>
        <w:pStyle w:val="3"/>
        <w:bidi w:val="0"/>
        <w:jc w:val="center"/>
        <w:rPr>
          <w:rFonts w:hint="eastAsia"/>
          <w:b/>
          <w:color w:val="auto"/>
        </w:rPr>
      </w:pPr>
      <w:bookmarkStart w:id="47" w:name="_Toc27782"/>
      <w:r>
        <w:rPr>
          <w:rFonts w:hint="eastAsia"/>
          <w:b/>
          <w:color w:val="auto"/>
        </w:rPr>
        <w:t>教学质量监控体</w:t>
      </w:r>
      <w:r>
        <w:rPr>
          <w:rFonts w:hint="eastAsia"/>
          <w:b/>
          <w:color w:val="auto"/>
          <w:lang w:eastAsia="zh-CN"/>
        </w:rPr>
        <w:t>二级学院</w:t>
      </w:r>
      <w:r>
        <w:rPr>
          <w:rFonts w:hint="eastAsia"/>
          <w:b/>
          <w:color w:val="auto"/>
        </w:rPr>
        <w:t>实施办法</w:t>
      </w:r>
      <w:bookmarkEnd w:id="47"/>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第一章 总  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第一条 教学质量是高等学校的生命线，教学质量管理是教学管理的重要内容，对全面实现人才培养目标具有重要意义。为进一步完善与规范我院教学质量管理，构建更加符合学院实际的教学质量监控体二级学院，特制定本办法。</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第二条 学院实行校、院两级教学质量管理和运行机制。教务部是学院教学管理的归口管理责任部门。教务部和二级学院在教学质量管理中的职能分工按照教学工作两级管理职责执行。</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第二章 教学质量监控体二级学院框架</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第三条 学院教学质量管理以日常教学运行监控为基础，实行定期检查与随机检查相结合，常规检查与专项检查相结合。在日常教学质量监控的基础上，实施专业自主评估和专业年度质量报告制度，最终形成以高职高专教学年度质量报告为代表的全院层面质量监控与管理体二级学院，实现全员、全过程、全要素的教学质量监控。</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第四条 教学指导委员会、教学督导组是学院重要的教学量管理组织，分别依据《教学工作委员会章程》和《教学督导工作实施规则》开展工作。充分发挥行业企业和独立第三方评价机构在教学质量管理中的作用，同时设立学生信息员和学生会参与教学质量管理，发挥学生在教学质量保障中的主体地位。</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第三章 教学质量标准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第五条 教学质量标准是教学质量管理的基础和教学工作应达到的目标。我院制定了涵盖人才培养全过程的教学质量标准，包括人才培养质量目标、教学资源建设与改革和教学质量监控保障等板块，重点体现在培养方案、课程标准及与其相符合的课程教学、实践教学、考试考查等主要教学环节。</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第四章 日常教学质量监控</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第六条 三段式教学检查三段式教学检查是指每学期由教务部组织各二级学院参与开展的学期初、学期中、学期末的常规性教学检查工作。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（一）学期初：以稳定教学秩序为目的，重点检查开学准备情况。包括：教师到位率、教师教学准备情况、教材和教室、实验室落实情况等。</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学期中：以确保学期教学质量为目的，开展期中教学质量检查工作。通过开展质量月活动、师生座谈会等形式，对教学运行、教学计划和教学状况进行全面检查。各二级学院针对本部门教学中存在的问题提出和落实整改措施，形成期中质量检查工作小结。教务部负责开展全院期中考试成绩分析，掌握全院的教学状态，形成全院期中教学质量报告。并对检查情况进行反馈，对共性问题提出解决措施或方案。</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（三）学期末：以分析总结和改进教学质量为目的，重点检查考试情况、本学期教学任务的完成情况、教学管理、教学改革、专业建设情况，对取得的成果和存在问题进行分析总结，研究改进的措施和方法。</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第七条 重要教学环节检查围绕技术技能型人才培养目标，以专业内涵建设为主线，在开展三段式日常教学检查的基础上，结合每学期的教学工作重点，对重要教学环节（如实验教学、医院企业实习）开展专项检查。依据相应的检查标准和评价指标，将检查结果及时反馈给相关系和教师，并纳入二级学院绩效考核和教学工作评价当中。</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第八条 多层次听课检查制度实施院领导和二级学院领导、院二级学院两级督导组、教学指导委员会等多层次听课和全体教师听课评教全覆盖制度。</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院二级学院教学督导组听课制度督导组深入课堂教学、实验教学、实习现场实地听课看课，了解课堂教学状况，对教师课堂教学内容和教学效果进行评价和提出建议。各二级学院应强化质量意识，建立健全二级学院督导管理制度，建设 3～5人左右的二级学院教学督导组。</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领导、管理干部听课制度学院各级领导干部应经常深入教学实地听课检查，了解教学任务的落实情况，掌握教学动态；收集学生对教学工作的意见和建议；协调教学各环节的问题，避免发生教学事故。按照《广东江门中医药职业学院领导干部听课制度》要求进行。</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专业（学科）带头人听课制度，专业（学科）带头人担负着本专业青年教师的培养及培养学科接班人的重任。专业（学科）带头人必须深入本专业（学科）教师的课堂听课，掌握本专业（学科）教师的教学状况，协调本专业（学科）教师的教学活动，协助学院做好本专业（学科）教师的教学工作考核和青年教师的培养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（四）教师听课制度建立教师听课制度，是学习借鉴同行教学经验，改进教学手段和教学方法，提高教学效果的有效途径。教师听课分为指导性听课、培养性听课。</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1.指导性听课：资深教师深入青年教师的课堂听课，充分发挥“传帮带”的教学指导作用，在改进教学方法、丰富教学内容、提高教学技巧等方面提出指导性建议，协助青年教师提升课堂教学效果。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2.培养性听课：青年教师应主动到资深教师的课堂听课，学习教学经验和先进的教学方法。青年教师每学期听课次数，将列入教师教学工作的考核，并将在职称申报或教学奖项、教学竞赛申请时作为参考指标。</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第九条 学生评价教师制度教务部布置每学期学生评教工作，由各二级学院组织实施学生对教师课堂教学（理论教学、实验教学、实训教学）开展网上评教测评工作。教务部负责建立学生评教数据资料，汇总统计和分析测评据，形成详细的学生评教测评结果报表，并反馈至各二级学院。由二级学院反馈至教师本人，促进教学质量的不断提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第十条 学生教学信息员制度教务部通过建立学生教学信息员队伍，广泛征集学生对课堂教学、教学管理等方面的意见和建议，全方位多角度的获取一线教学信息。教务部负责信息员的直接管理，对信息员提供的教学信息进行分析核实和统计，并反馈至各二级学院。</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第十一条 教学工作自评制度各二级学院每年按校《教学工作评价指标体二级学院》对日常教学工作进行总结和自评。教务部每年末启动各二级学院教学工作年终考核，对各二级学院教学工作运行状态、人才培养模式建设与改革、教学质量评估与保障等指标完成情况进行考核和评价。</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第五章 教学质量分析与评估</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第十二条 由教学副院长负责，教务部和学生工作部、人事部等相关职能部门共同组织实施。在不断完善教学状态数据二级学院统建设的基础上，实现“自我评估与校外评估相结合”、“二级学院自评与学院评估相结合”，强化特色，突出重点，依据相关管理制度和指标体二级学院开展各类教学质量分析与评估。具体实施的教学质量分析与评估有：</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（一）高职高专教学工作审核评估。</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（二）广东省教育厅组织开展的专项检查与评估。</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（三）学院组织实施的各专业年度质量报告、期中（末）教学质量分析报告、高职高专教学年度质量报告和就业质量报告等。</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第六章 信息反馈</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第十三条 由教学副院长负责，教务部具体实施，对教学相关信息进行汇总和分析，经调查核实后反馈给相关部门和个人以采取改进措施，并对改进情况实施跟踪监督。反馈形式包括教学工作例会反馈、书面反馈、口头反馈、信息平台反馈等。主要的反馈内容包括：</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（一）日常教学检查反馈对于常规检查中发现的问题由教务部下发《日常教学质量检查情况反馈、处理表》给相关责任主体，并限期 10 个工作日内整改上报教务部。</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（二）专项检查反馈专项检查中发现的问题教务部专门下发《教学质量整改通知书》，限时整改并对整改实施情况进行监督跟踪。</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学生评教结果反馈教务部对学生评教测评结果进行汇总、整理、分析，及时向各二级学院主管领导进行反馈（任教课程的平均分、各项指标得分、本二级学院和全院的平均分及最高分最低分等）。各二级学院得到学生对本部门任课教师的测评结果，应及时向任课教师传输信息和交换意见，以便及时解决发现的和存在的问题，帮助任课教师改进教学方法，提高教学质量。</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毕业生培养质量信息反馈通过开展毕业生培养质量追踪调研、问卷调查和用人单位、学生家长调研、独立第三方评价等方式，建立毕业生质量分析的信息反馈，了解社会对学院毕业生需求及其变化情况，了解毕业生的学习感受和要求，了解人才培养的目标和结果是否符合社会需求，据此对对专业设置、人才培养方案以及教育教学环节进行改革和调整。</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第七章 其他</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第十四条 本办法由教务部负责解释。</w:t>
      </w:r>
    </w:p>
    <w:p>
      <w:pPr>
        <w:pStyle w:val="3"/>
        <w:bidi w:val="0"/>
        <w:jc w:val="center"/>
        <w:rPr>
          <w:rFonts w:hint="eastAsia"/>
          <w:b/>
          <w:color w:val="auto"/>
        </w:rPr>
      </w:pPr>
      <w:bookmarkStart w:id="48" w:name="_Toc29047"/>
      <w:r>
        <w:rPr>
          <w:rFonts w:hint="eastAsia"/>
          <w:b/>
          <w:color w:val="auto"/>
        </w:rPr>
        <w:t>教学质量与教学改革工程项目管理暂行办法</w:t>
      </w:r>
      <w:bookmarkEnd w:id="48"/>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第一章</w:t>
      </w:r>
      <w:r>
        <w:rPr>
          <w:rFonts w:hint="eastAsia" w:ascii="宋体" w:hAnsi="宋体" w:eastAsia="宋体" w:cs="Times New Roman"/>
          <w:color w:val="auto"/>
          <w:sz w:val="24"/>
          <w:szCs w:val="24"/>
          <w:lang w:val="en-US" w:eastAsia="zh-CN"/>
        </w:rPr>
        <w:tab/>
      </w:r>
      <w:r>
        <w:rPr>
          <w:rFonts w:hint="eastAsia" w:ascii="宋体" w:hAnsi="宋体" w:eastAsia="宋体" w:cs="Times New Roman"/>
          <w:color w:val="auto"/>
          <w:sz w:val="24"/>
          <w:szCs w:val="24"/>
          <w:lang w:val="en-US" w:eastAsia="zh-CN"/>
        </w:rPr>
        <w:t>总</w:t>
      </w:r>
      <w:r>
        <w:rPr>
          <w:rFonts w:hint="eastAsia" w:ascii="宋体" w:hAnsi="宋体" w:eastAsia="宋体" w:cs="Times New Roman"/>
          <w:color w:val="auto"/>
          <w:sz w:val="24"/>
          <w:szCs w:val="24"/>
          <w:lang w:val="en-US" w:eastAsia="zh-CN"/>
        </w:rPr>
        <w:tab/>
      </w:r>
      <w:r>
        <w:rPr>
          <w:rFonts w:hint="eastAsia" w:ascii="宋体" w:hAnsi="宋体" w:eastAsia="宋体" w:cs="Times New Roman"/>
          <w:color w:val="auto"/>
          <w:sz w:val="24"/>
          <w:szCs w:val="24"/>
          <w:lang w:val="en-US" w:eastAsia="zh-CN"/>
        </w:rPr>
        <w:t>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第一条  为贯彻落实《教育部、财政部关于印发〈高等学校教学质量与教学改革工程项目管理暂行办法〉的通知）和《关于实施广东省高等学校教学质量与教学改革工程的意见）等文件精神，着力提升我校高等教育质量和发展水平，加强学校教学质量与教学改革工程（以下简称“质量工程”）项目管理，确保项目建设取得实效，特制定本办法。</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第二条  “质量工程”以提高学校教学质量为目标，以推进改革和实现优质资源共享为手段，按照“分类指导、鼓励特色、重在改革”的原则，加强内涵建设，提升我校教育的质量和整体实力。</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第三条  “质量工程”包括特色专业建设与人才培养方案调整优化计划、精品资源共享课程建设与教学内容改革计划、专业建设、教学名师和教学团队高水平队伍建设计划、大学生创新创业能力培养计划、实践教学改革与创新计划、质量保障与服务支撑体二级学院建设计划等方面建设内容。本办法所称“质量工程”项目为以上方面规划建设项目及其他相关项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第四条  “质量工程”资金由学校专项安排。按专项资金管理办法执行。</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第二章  管理职责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第五条  学校成立“质量工程”领导小组，制订实施方案，对项目建设过程中的重大问题进行决策，全面领导“质量工程”工作。领导小组下设办公室〈以下简称领导小组办公室，设在教务部），负责“质量工程”具体组织管理和日常事务，主要履行以下职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（一）负责统筹指导建设计划的相关工作；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（二）制订和发布“质量工程”项目指南；</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（三）组织项目评审，提出立项方案；</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（四）组织对项目的检查、验收和评价；</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（五）推广宣传项目建设成果。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第六条  “质量工程”项目承担部门（以下简称项目单位）应指定专人负责本单位项目建设的规划、实施、管理和检查等工作。项目单位主要履行以下职责：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（一）按照本办法的要求，编制、报送项目申报材料，并对其真实性负责；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（二）按照批复的项目建设内容，统筹规划，组织项目实施，确保项目建设进度、建设投资和预期目标；</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（三）统筹安排各渠道建设资金，按照有关财务制度及本办法规定，科学、合理使用建设资金，确保资金使用效益；</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（四）接受教务部、财务部、审计等部门对项目实施过程和结果进行监控、检查和审计；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（五）定期向领导小组办公室书面报告项目进展情况。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第七条  “质量工程”项目实行项目负责人负责制。项目负责人的职责是：</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（一）依照项目的有关要求和规定，制订项目建设计划；</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（二）组织项目建设工作，把握项目的总体水平和项目计划实施进度；</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（三）按规定合理安排项目经费；</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（四）自我评价项目建设效果；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（五）宣传、展示项目建设成果，推进项目建设成果应用。</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第八条  “质量工程”项目建设内容、进度安排以及项目负责人不得随意调整。如确需调整的，项目单位须提交书面申请报领导小组办公室批准。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第三章  申报立项</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第九条  “质量工程”项目分公共二级学院统建设项目和学校建设项目两类。公共二级学院统建设项目是指为高等学校服务的资源共享平台和管理平台的项目，一般由我校独立承担，或者与其他学校合作共同承担。学校建设项目指学校有较好的建设基础，自行完成建设任务、达到建设目标的项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第十条  项目申报立项程序如下：</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（一）学校领导小组办公室发布项目指南；</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（二）学校领导小组办公室受理项目申报工作，组织项目评审并提出立项建议方案；</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（三）学校学术委员会审定立项建议方案，批准立项实施。</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第四章</w:t>
      </w:r>
      <w:r>
        <w:rPr>
          <w:rFonts w:hint="eastAsia" w:ascii="宋体" w:hAnsi="宋体" w:eastAsia="宋体" w:cs="Times New Roman"/>
          <w:color w:val="auto"/>
          <w:sz w:val="24"/>
          <w:szCs w:val="24"/>
          <w:lang w:val="en-US" w:eastAsia="zh-CN"/>
        </w:rPr>
        <w:tab/>
      </w:r>
      <w:r>
        <w:rPr>
          <w:rFonts w:hint="eastAsia" w:ascii="宋体" w:hAnsi="宋体" w:eastAsia="宋体" w:cs="Times New Roman"/>
          <w:color w:val="auto"/>
          <w:sz w:val="24"/>
          <w:szCs w:val="24"/>
          <w:lang w:val="en-US" w:eastAsia="zh-CN"/>
        </w:rPr>
        <w:t>检查验收</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第十一条  学校领导小组办公室根据项目建设计划对“质量工程”项目建设情况进行检查和验收，所使用资金纳入绩效评价范围。</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第十二条  项目建设情况检查指在建设过程中进行不定期随机检查。检查的主要内容是：</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（一）项目进展情况；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（二）资金的使用情况；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（三）项目建设中的主要问题和改进措施。</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第十三条  有下列情形之一的，领导小组办公室将视其情节轻重给予警告、中止或撤销项目等处理。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（一）申报、建设材料弄虚作假、违背学术道德；</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（二）项目执行不力，未开展实质性建设工作；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（三）未按要求上报项目有关情况，无故不接受有关部门对项目实施情况的检查、监督与审计；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（四）项目经费的使用不符合有关财经法规和制度的规定，或者有其他违反项目规定与管理办法的行为。</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第十四条  项目建设周期根据各类项目要求确定，建设期满需要接受验收。验收采用项目单位报送项目建设总结报告，或进入项目单位实地验收两种形式进行。验收的主要内容是：</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（一）建设目标和任务的实现情况；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（二）取得的标志性成果以及经验分析；</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（三）项目管理情况；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（四）资金使用情况。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第十五条  验收结束后，由领导小组办公室出具验收结论性意见。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对未达到验收要求的项目，取消其“质量工程”项目的资格并按有关规定严肃处理。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第十六条  领导小组办公室适时对“质量工程”项目进行整体评价。通过整体评价“质量工程”项目建设成果，总结经验，指导高等教育教学改革工作。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第五章</w:t>
      </w:r>
      <w:r>
        <w:rPr>
          <w:rFonts w:hint="eastAsia" w:ascii="宋体" w:hAnsi="宋体" w:eastAsia="宋体" w:cs="Times New Roman"/>
          <w:color w:val="auto"/>
          <w:sz w:val="24"/>
          <w:szCs w:val="24"/>
          <w:lang w:val="en-US" w:eastAsia="zh-CN"/>
        </w:rPr>
        <w:tab/>
      </w:r>
      <w:r>
        <w:rPr>
          <w:rFonts w:hint="eastAsia" w:ascii="宋体" w:hAnsi="宋体" w:eastAsia="宋体" w:cs="Times New Roman"/>
          <w:color w:val="auto"/>
          <w:sz w:val="24"/>
          <w:szCs w:val="24"/>
          <w:lang w:val="en-US" w:eastAsia="zh-CN"/>
        </w:rPr>
        <w:t>附</w:t>
      </w:r>
      <w:r>
        <w:rPr>
          <w:rFonts w:hint="eastAsia" w:ascii="宋体" w:hAnsi="宋体" w:eastAsia="宋体" w:cs="Times New Roman"/>
          <w:color w:val="auto"/>
          <w:sz w:val="24"/>
          <w:szCs w:val="24"/>
          <w:lang w:val="en-US" w:eastAsia="zh-CN"/>
        </w:rPr>
        <w:tab/>
      </w:r>
      <w:r>
        <w:rPr>
          <w:rFonts w:hint="eastAsia" w:ascii="宋体" w:hAnsi="宋体" w:eastAsia="宋体" w:cs="Times New Roman"/>
          <w:color w:val="auto"/>
          <w:sz w:val="24"/>
          <w:szCs w:val="24"/>
          <w:lang w:val="en-US" w:eastAsia="zh-CN"/>
        </w:rPr>
        <w:t>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第十七条  本办法自发布之日起实施。本办法发布前已经启动实施的项目继续执行，项目管理按本办法执行。</w:t>
      </w:r>
    </w:p>
    <w:p>
      <w:pPr>
        <w:spacing w:line="360" w:lineRule="auto"/>
        <w:ind w:firstLine="480" w:firstLineChars="200"/>
        <w:rPr>
          <w:rFonts w:hint="eastAsia" w:ascii="仿宋" w:hAnsi="仿宋" w:eastAsia="仿宋" w:cs="仿宋"/>
          <w:color w:val="auto"/>
          <w:kern w:val="0"/>
          <w:sz w:val="32"/>
          <w:szCs w:val="32"/>
          <w:lang w:val="en-US" w:eastAsia="zh-CN" w:bidi="ar-SA"/>
        </w:rPr>
      </w:pPr>
      <w:r>
        <w:rPr>
          <w:rFonts w:hint="eastAsia" w:ascii="宋体" w:hAnsi="宋体" w:eastAsia="宋体" w:cs="Times New Roman"/>
          <w:color w:val="auto"/>
          <w:sz w:val="24"/>
          <w:szCs w:val="24"/>
          <w:lang w:val="en-US" w:eastAsia="zh-CN"/>
        </w:rPr>
        <w:t>第十八条  本办法由教务部负责解释和修订。</w:t>
      </w:r>
    </w:p>
    <w:p>
      <w:pPr>
        <w:spacing w:line="360" w:lineRule="auto"/>
        <w:ind w:firstLine="422" w:firstLineChars="200"/>
        <w:jc w:val="center"/>
        <w:rPr>
          <w:rFonts w:hint="eastAsia" w:ascii="宋体" w:hAnsi="宋体" w:eastAsia="宋体" w:cs="宋体"/>
          <w:b/>
          <w:bCs/>
          <w:color w:val="auto"/>
          <w:szCs w:val="21"/>
        </w:rPr>
      </w:pPr>
    </w:p>
    <w:p>
      <w:pPr>
        <w:pStyle w:val="3"/>
        <w:bidi w:val="0"/>
        <w:jc w:val="center"/>
        <w:rPr>
          <w:rFonts w:hint="eastAsia"/>
          <w:b/>
          <w:color w:val="auto"/>
        </w:rPr>
      </w:pPr>
      <w:bookmarkStart w:id="49" w:name="_Toc1686"/>
      <w:r>
        <w:rPr>
          <w:rFonts w:hint="eastAsia"/>
          <w:b/>
          <w:color w:val="auto"/>
        </w:rPr>
        <w:t>教学督导工作规程</w:t>
      </w:r>
      <w:bookmarkEnd w:id="49"/>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一、总则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为贯彻落实《国务院关于大力发展职业教育的决定》、教育部《关于全面提高高等职业教育教学质量的若干意见》和《高等职业学校、高等专科学校和成人高等学校教学管理要点》等文件精神，深化高等职业教育教学改革，提高人才培养质量，有效地开展教学督导工作，规范教学管理，完善校二级学院二级教学质量监控体二级学院，加强对二级学院教学质量和教学过程的监控，树立良好的教风与学风，稳定教学秩序，提高教学管理水平和教学质量。结合学校实际，特制定本条例。</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推行教学督导制度是学校建立现代科学管理制度的一项重要举措，教学督导坚持督导并举、重在引导和以教学质量为中心的原则，开展教学督导工作主要是通过发挥监督、检查、评估和指导和信息反馈等督导职能，达到不断提高教学质量的目的。</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（三）教学督导工作坚持实事求是，客观公正，相互信任；坚持以人为本，与人为善，平等沟通；坚持督导与服务相结合，在教学过程中遵循督是手段，导是关键的原则。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二、学校教学督导组织机构</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学校成立教学督导工作领导小组，由主管教学副校长担任组长，主管教学督导工作的副校长任副组长，其他副组长若干，组员由学校选定。学校教学督导工作领导小组负责审定教学督导工作计划，检查教学督导工作进度，审议教学质量监控评估结果和质量监控体二级学院建设，负责裁决教学督导过程中有争议的相关事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学校设立教学督导室，隶属于人才培养质量监控办公室，在主管教学副校长和教学督导工作领导小组的领导下，独立开展教学督导工作。学校教学督导工作领导小组和教学督导室的的日常工作及专职教学督导员的管理均由人才培养质量监控办公室全面负责实施管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（三）实行校二级学院两级教学督导制，学校专职督导和各二级学院督导小组，形成动态监控及定期评价并举的教学质量监控体二级学院。</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（四）各二级学院督导小组由二级学院领导、教研室负责人及教学骨干组成。二级学院教学督导组负责本二级学院的教学督导工作，学校督导室在业务上指导二级学院督导组工作。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五）督导员队伍主要由专职、兼职督导员组成。督导员实行聘任制，校级督导员由学校统一聘任，原则聘请校内外具有高级职称的人员担任，总人数在6－8人；二级学院督导员由二级学院聘任，可根据二级学院实际情况进行遴选、确定督导人数，报学校教学督导室备案。</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教学督导员应熟悉国家的教育方针和高等教育教学规律，了解高校教育理念和发展动态，有较高的理论和政策水平，有较丰富的管理和教学工作经验，作风正派、办事公正、事业心强、身体健康、胜任本职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（七）教学督导室负责为督导组工作的开展做好协调与服务工作，人才培养质量监控办公室作为职能处室做好宏观管理调控。</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（八）教学督导室工作职责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1．制定并实施教学督导工作的制度、规划、计划，定期对教学督导工作进行总结与分析。</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2.安排教学督导课堂教学听课并及时进行统计分析，做好相关信息反馈。</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3.组织教学督导进行业务学习与培训、调查研究、信息交流和经验总结。</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4.组织教学督导对各层次范围的课堂教学、实践教学、考试等教学环节进行督导工作。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5.组织教学督导开展专项督导工作。配合教学职能部门开展相关的教学检查、教学事故情况分析和教学评估工作。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6.加强教学督导工作的信息化和规范化建设，及时收集和整理教学督导的各种工作信息，定期向学校领导、有关职能部门和学校（二级学院）反馈信息并提供咨询建议。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7.建立教学督导工作档案，撰写相关研究文章。</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8.完善教师课堂教学质量评估体二级学院。</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9.加强和完善学生网上评价二级学院统的管理。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10．负责教学督导室的日常事务，完成上级教育行政部门和学校领导下达的其它有关工作。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三、二级学院教学督导机构</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（一）二级学院教学督导小组是在各二级学院主任领导下的教学督导机构，接受学校教学督导室和二级学院主任的工作安排与指导。</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（二）二级学院教学督导工作的主要任务是依据国家的政策法规和科学的教学评价标准，对二级学院教学的教学过程、教学管理、教学质量、教学环境进行督导、监控、检查与评估，以保证和提高教学质量。</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（三）人员构成</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1．二级学院教学督导员在本人自愿的基础上由各二级学院推荐，经分管校长同意后由各二级学院聘任，并报学校教学督导室存档。每届聘期两年，可以续聘。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2.各二级学院教学督导小组一般为6—12人组成，设组长一名。</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（四）聘任条件</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1．学校在职具有讲师或以上职称的教师或教学管理人员。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2.身体健康，能坚持正常工作。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3.遵纪守法，有良好的师德和高度的责任感和事业心，严于律己，实事求是，坚持原则，作风正派，办事公道，善于与人沟通。</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4.热心教学督导工作，具有较强的组织协调能力、教学研究和专业教学指导能力。</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5.熟悉有关教育方针、政策、法规，有较高的政策水平。</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6.熟悉教育教学工作业务，具有先进的教育教学理念；长期从事教学和教学管理，懂得教育规律；有较强的分析问题的能力；善于学习、吸收和研究国内外的教育理论和实践。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四、学校教学督导工作内容及方式</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（一）教学督导工作内容</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1．教学常规检查：教师的备课、上课、教案、听课情况、作业批改、教学日志。</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2.教学质量检查和评价：教师上课情况、学生测评及反馈意见。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3.青年教师培养：制定和落实对青年教师的培养，承担对青年教师进校后一年跟踪与帮扶职责，重点帮助青年教师提高课堂教学水平和能力。</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4.教师课堂教学水平评价：听课、评课，对教师课堂教学情况和工作能力做出评价意见，负责教师每学期的教学评估工作。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5.参与各类教育教学研究活动。</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6.师资队伍的建设：协助人事、教务部门对于师资队伍建设工作的调研，抓好教师培训与上岗考核和专业带头人、学科带头人、骨干教师的选拔与评价。</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7.教师职称晋升：协助组织人事部做好教师职称晋升工作。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8.各项教学制度的检查：对学校教学管理制度、教学计划、教学文件的执行情况进行检查，为学校的教学改革、教学管理提供依据和建议。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9.建立教学督导资料库，通过对教学督导情况的积累和分析统计，为学校对教学行政职能部门进行教学管理工作的考核、教师的评优奖励、职称晋升等提供参考。</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（二）教学督导的方式</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教学督导工作的基本方式为综合性督导、专项督导和经常性督导。</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1．综合性督导：对全校的教学工作做全面评估，包括教学计划、教学内容、教学管理、教学效果等方面，对学校总体教学水平和教学质量进行综合调研和评价。一般每年进行一次。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2.专项督导：结合学校的教学改革，围绕教育培训中的热点、难点问题，有计划、有针对性、有选择地开展专项教学督查工作，通过专项督导，能对学校教学的某个环节有所促进。一般每年进行一至二次。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3.常规性督导：即经常深入教学第一线，通过听课、访谈、问卷调查、抽查有关教学资料、调查研究等形式，了解检查教学情况，及时发现并反映问题，提出改进的意见和建议。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五、二级学院教学督导工作内容及方式</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课堂教学指导。各二级学院要成立由二级学院教学督导小组成员参与的若干听课小组，深入课堂、实验实训室、实习点等教学场所，随堂听课，检查师生教与学的情况，对教师的教学工作规范、教学基本环节及学生的学习活动、教学质量等方面实施督导检查，尤其是加强对新、青年教师的教学指导。</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在教学督导过程中注意发现好的教学和管理典型，帮助总结好的经验和做法；对教学和管理中的突出问题要敢于批评及提出改进的意见和建议；注意收集、整理有关信息，及时向授课教师、有关系及职能部门反馈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3.积极参与二级学院各专业人才培养方案的修订、专业建设的评估、教师课堂教学质量的评价、试卷质量检查等工作，并提出合理化建议。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4.根据各二级学院具体教学情况，对各二级学院的教学工作进行随机、动态的督导检查。检查并督促二级学院和教研室执行教学管理文件和制度（包括人才培养方案、课程标准、授课计划等）。</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5.对二级学院教风、学风建设情况进行调研，并提出针对性的改进意见或措施。</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6.结合二级学院不同时期的教学督导工作重点和教学及其管理工作现状，对影响二级学院教育教学质量的问题进行研讨，并向二级学院提出改进教学工作的书面或口头的意见和建议。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7.参加教学督导工作例会，与学校督导小组一起组织学生评教座谈会，参与教务部门组织的其他教学活动。听取教师、学生和管理人员对教学及有关工作的意见。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每学期听课不少于18节（含实验课和其他实践环节），其中在青年教师的课堂听课数应占总听课数的50%以上，并对听课情况做出评价和记录，课后及时与任课教师交流，给予教学指导。听课记录表交二级学院办公室存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9.每学年开学时制定工作计划，学年结束时撰写工作总结，并将原件报学校教学督导小组及二级学院存档。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六、教学督导员的聘任</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（一）校级教学督导员分专、兼职两类</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1．校级兼职督导员可采取个人申报、二级学院推荐和组织选定。具备条件为：</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（1）政治思想素质好，教学经验丰富，教学成绩突出，学术造诣较深，威望较高；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（2）热爱教学督导工作，能够在工作中坚持“公开、公正、公平”原则；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（3）原则上具有副高级以上职称，特殊情况可适度放宽；</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（4）具有较为充裕的时间保证。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2.校级专职督导员由学校招聘的方式进行，人才培养质量监控办公室审核认定，学校人事部门负责办理相关评聘手续。聘任条件为：</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（1）职称条件：专职督导员应具备副高及以上专业技术职称并已退休的教师、专业技术人员或教学管理人员；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（2）资历条件：具有教学工作一线经验的教授，或是具有教研室主任及其以上教学管理经历的副教授，或是具有教学工作或教学管理工作经历、具有副高及以上业务职称的处级及以上干部；</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（3）素质条件：热爱高等教育事业、拥护并全面贯彻党的教育方针和政策、关心医学教育事业发展、有较强的工作责任心和奉献精神、工作主动、认真负责、秉公办事、作风正派；</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（4）身体条件：身体健康，能胜任较大强度的工作量，年龄一般不超过70岁。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3.教学督导员有下列情形之一的，对其解聘：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（1）不履行教学督导工作职责；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（2）在教学督导工作中造成不良影响；</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（3）受到行政处分、刑事处罚。</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4.校级督导员的数量根据学校现实情况4－6人。</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5.聘期：督导员的聘期一般为2年，可连聘连任。</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（二）二级学院教学督导员的聘任</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1．二级学院教学督导员属兼职工作，由二级学院直接聘任并报学校教学督导室备案。聘任条件可参照校级教学督导员的聘任条件，在资历条件上依据二级学院教学督导工作管理规定。</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2.督导员的数量：二级学院教学督导小组一般为6－12人组成，设组长一名。</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3.聘期：督导员的聘期一般为2年，可连聘连任。</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4.聘任流程：二级学院教学督导员在本人自愿的基础上由各二级学院推荐，经分管校长同意后由各二级学院聘任，并报学校教学督导室存档。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5.聘任条件</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（1）学校在职具有讲师或以上职称的教师或教学管理人员；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（2）身体健康，能坚持正常工作；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（3）遵纪守法，有良好的师德和高度的责任感和事业心，严于律己，实事求是，坚持原则，作风正派，办事公道，善于与人沟通；</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（4）热心教学督导工作，具有较强的组织协调能力、教学研究和专业教学指导能力；</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（5）熟悉有关教育方针、政策、法规，有较高的政策水平；</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（6）熟悉教育教学工作业务，具有先进的教育教学理念；长期从事教学和教学管理，懂得教育规律；有较强的分析问题的能力；善于学习、吸收和研究国内外的教育理论和实践。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七、教学督导员的权利</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（一）学校教学督导员的权利</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1．参加与教学督导有关的教学工作会议及各种教学活动，参与教学计划的修订、专业设置、课程改革、教学评估、教学评比及教学改革的研讨和论证工作。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2.随时深入课堂、实验室等教学现场听课、考察并给予评价，提出合理建议。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3.调阅有关部门和教师的教学文件、教学资料。包括：教学日志、实验室记录、课程标准、实训计划书、教材、教案、讲稿、教学课件、考试试卷、学生作业、实验报告等等。</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4.根据工作需要向各级领导、职能部门、教学秘书了解教学方面的情况，要求提供有关资料；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5.召开教师和学生座谈会，了解教学工作情况和学生的意见要求；</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6.参与教学质量检查和教师考评工作，并提供评价意见。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7.制止违反教学规范的行为和做法，相关系和教师没有充分理由不得拒绝采纳督导员针对教育、教学管理工作提出的改进意见。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8.独立行使向学校校长、主管校长汇报督导工作情况、提供教学工作和教学管理工作的信息和改进意见。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（二）二级学院教学督导员的权利</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1．对二级学院的专业教学计划和教师的任课安排及相关的教学事项有知情权。</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2.对二级学院有关教学工作计划和安排有建议权。</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3.有列席二级学院教学工作会议的权利。</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4.参与二级学院对教师课堂教学质量评价的审核权和认定权。</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八、教学督导员的义务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（一）学校教学督导员的义务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1．认真学习教育理论和国家的各项教育方针、政策，不断提高教育理论水平和政策水平。</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2.努力学习高等职业教育的思想、理论、政策，不断更新教育观念，探讨高职教学督导工作的规律，不断提高教学督导工作水平，为提高学校教育教学质量提供先进的思想和方法。</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3.根据学校所确定的督导工作计划和安排，在工作职责范围内实施教学督导工作。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4.向各级领导、学校教学督导工作领导小组和有关职能部门提供教学信息，反映情况，提出建议和意见。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5.认真履行教学督导的工作职责，及时向人才培养质量监控办公室提交听课、检查、巡考、调研等工作记录、报告总结及其它教学督导工作材料。</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6.积极参加教学督导小组活动，完成教学督导工作领导小组交付的各项工作。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7.积极维护正常教学秩序，听课、了解情况时不影响或干扰正常教学秩序，尊重教师，自觉维护教师尊严，尊重、爱护学生。</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8.在学校的教学改革和教学建设中提出建设性意见和建议。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（二）二级学院教学督导员的义务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1．服从二级学院的总体工作安排，完成二级学院交办的各项工作任务。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2.坚持原则，认真开展各项督导和评价工作，保证工作的公平性、公正性和客观性。</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3.对不宜公开的信息予以保密；未获二级学院主任同意，不在不适当的场合评价教师、学生以及有关教学情况。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4.二级学院督导小组成员在课堂教学质量评价中应严于利己、客观公正，严禁以权谋私、徇私舞弊。</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九、教学督导员的工作纪律和要求</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（一）按照学校教学督导工作计划开展工作，并接受学校教学督导工作领导小组的监督。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（二）督导工作必须做到实事求是、公正、合理、科学。</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（三）遵守工作纪律，未经同意，个人不得以任何形式泄露督导评估意见。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（四）不得滥用职权、以权谋私、打击报复、包庇他人、侵害他人权益。督导员违反纪律，视其情节，给予警告、撤职直至行政处分。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（五）教学督导工作均需按规定作好书面记录，及时反馈和做好相关统计，督导过程中发现问题应及时上报。</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（六）教学督导评估资料应随时汇总、定期归档，逐步建立完整的教学评估档案，上报学校教学督导室。</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（七）校级专职教学督导员每周听课时数最低不少于12－14学时，校级兼职教学督导员每周听课时数最低不少于10学时；二级学院教学督导员和兼有管理工作的每学期听课时数最低不少于10－12学时。</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（八）对于因教学经验不足，教学方法有待改进的青年教师，教学督导要热情帮助，重点指导，使其尽快胜任工作，提高课堂教学能力，保证教学质量。</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十、教学督导员的待遇</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校级兼职教学督导员的教学工作量按学校人事部门有关文件执行。专职教学督导员的待遇按学校人事部门有关文件执行。每年度评选学校教学督导先进小组集体3个（1.2.3等奖），教学督导先进个人按30%推荐。</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（二）根据二级学院教学督导员的工作职责，凡按要求完成教学督导听课任务的教学督导员和课堂教学质量监控小组成员，享有以下待遇：</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1．根据实际听课节数，学校给予相应听课补贴。</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2.应在二级学院年度考核：评优评先和专业带头人、学科带头人、骨干教师的选拔与评价中适当倾斜，鼓励和肯定其工作成绩。</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十一、其它</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（一）学校有关部门和各教学教辅部门应充分认识教学督导工作的重要性，对教学督导员的工作应予以积极地配合和大力支持，不得以任何理由妨碍阻挠教学督导员进行调研和督导。</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（二）各二级学院要根据本规定与二级学院实际工作情况制订二级学院教学督导工作的有关管理细则，被督导的二级学院或个人对督导有意见有异议，有权向人才培养质量监控办公室提出申诉。</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（三）本条例由人才培养质量监控办公室负责解释。</w:t>
      </w:r>
    </w:p>
    <w:p>
      <w:pPr>
        <w:spacing w:line="360" w:lineRule="auto"/>
        <w:jc w:val="center"/>
        <w:rPr>
          <w:rFonts w:hint="eastAsia" w:ascii="宋体" w:hAnsi="宋体" w:eastAsia="宋体" w:cs="宋体"/>
          <w:b/>
          <w:bCs/>
          <w:color w:val="auto"/>
          <w:szCs w:val="21"/>
        </w:rPr>
      </w:pPr>
    </w:p>
    <w:p>
      <w:pPr>
        <w:pStyle w:val="3"/>
        <w:bidi w:val="0"/>
        <w:jc w:val="center"/>
        <w:rPr>
          <w:rFonts w:hint="eastAsia"/>
          <w:b/>
          <w:color w:val="auto"/>
        </w:rPr>
      </w:pPr>
      <w:bookmarkStart w:id="50" w:name="_Toc342"/>
      <w:r>
        <w:rPr>
          <w:rFonts w:hint="eastAsia"/>
          <w:b/>
          <w:color w:val="auto"/>
        </w:rPr>
        <w:t>学生教学质量信息员制度</w:t>
      </w:r>
      <w:bookmarkEnd w:id="50"/>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为进一步拓宽信息交流渠道，加强教学信息交流与反馈，更好地发挥教师、学生在教学中的主导和主体作用，为师生提供宽阔的信息传递的平台，经研究决定在学院设立教学信息站，在学生中聘任教学信息员，建立网络化教学信息员制度。</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 xml:space="preserve">一、指导思想 </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学生教学信息员队伍”是在学院教学信息站直接管理下，为学院教学工作提供信息参考的大学生群众性组织。主要从事教学一线信息（包括教学思想、办学目标、人才培养模式、教学改革、课堂教学、专业设置、学风建设等）收集及提供合理化建议，为学院协调教和学的活动，改进教学工作，加强教学质量监控提供依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二、教学信息员队伍组成</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学院设立学生教学信息站（以下简称教学信息站），隶属教务部。教学信息员每自然班一名。</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三、教学信息中心职责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教学信息站负责学院教学信息日常管理；教学信息的收集、整理及核实；向有关部门反馈学生的合理意见和建议；《教学简报》上设立教学信息专栏，并及时在网上发布教学况信息。</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四、学生教学信息员的条件</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1．思想品德优良，有参与教学管理的积极性，秉公办事，敢于发表意见，具有奉献精神。</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2．学习态度端正，成绩优良，有良好地学习方法和学习习惯。</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3．团结协作精神好，善于联二级学院老师和同学，能代表同学反映意见。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4．有较强地观察、综合、分析能力和信息处理能力以及较好地文字表达能力。</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五、教学信息员职责</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1．反映学生对学院在教书育人、教学质量、教学水平、教学管理、学术气氛方面的意见和建议，重点是对教学内容更新状况、教学实践环节、教学设备方面的意见。</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2．反映学生对任课教师教学态度、教学水平的意见和建议、教学过程的各环节（备课、课堂教学、实验教学、作业批改、课外辅导、实践环节、课程设计、考试等）的意见和建议。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3．反映学生对教学管理部门（包括教学管理制度的制定与实施、教学活动的组织、教学质量管理等）的意见和建议。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4．反映学生在教学活动中存在的学风问题。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5．反映学生及家长对学院办学的意见和建议。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6．及时反映学生听课、实验实习、作业、考试等方面的状况。</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7．在网上通过《院二级学院两级课程质量监控二级学院统》填报教学信息，每月至少两次，并向《教学简报》提供稿件。</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8．准时参加教学信息站组织的会议及各项活动。</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9．协助教务部进行课堂教学学生满意度评价。</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六、教学信息员聘任与管理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1.教学信息员由教学信息站负责聘任和日常管理，每班 1名，原则上为学习委员，填写《学生教学信息员聘用登记表》，建立学生教学信息员工作档案，单位自存。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2．教学信息员保持相对稳定，每年可以根据实际情况续聘或重聘。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3.对任期内违反有关规定者，予以解聘。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七、待遇与表彰</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1．对积极参加教学信息活动，认真履行教学信息员职责，表现出色，成绩突出的信息员授予“优秀教学信息员”称号。对获奖个人颁发荣誉证书并给予一定的物质奖励。</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2．优秀学生教学信息员每学年评选一次。</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3．优秀学生教学信息员按照教学信息站履行信息员职责的总人数 20%进行表彰。</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4．教学信息站根据信息员在网上提交信息数量，按照评选条件和评选比例，在征求学生工作部意见的基础上，确定推荐人选，组织被推荐人填写《优秀信息员登记表》报教务部。</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5．教务部从推荐的人选名单中，根据信息员在网上提交信息数量审查确定 “优秀教学信息员”。</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6．优秀信息员评选工作须于 12 月底完成</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7．学生教学信息员应享受院级学生干部待遇，在学生量化积分管理及相关评比中给予适当加分。</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8．各部门应积极创造条件引导和帮助学生教学信息员开展工作，严禁任何人以任何名义干涉学生教学信息员正常工作。</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9．毕业生离校之前，对毕业班级信息员单独进行一次教学信息的收集与调查，以全面了解毕业生对我校教学工作的意见和建议。</w:t>
      </w:r>
    </w:p>
    <w:p>
      <w:pPr>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八、本办法由教务部负责解释。</w:t>
      </w:r>
    </w:p>
    <w:p>
      <w:pPr>
        <w:adjustRightInd w:val="0"/>
        <w:snapToGrid w:val="0"/>
        <w:spacing w:line="360" w:lineRule="auto"/>
        <w:ind w:firstLine="640" w:firstLineChars="200"/>
        <w:jc w:val="left"/>
        <w:rPr>
          <w:rFonts w:hint="eastAsia" w:ascii="仿宋" w:hAnsi="仿宋" w:eastAsia="仿宋" w:cs="仿宋"/>
          <w:color w:val="auto"/>
          <w:kern w:val="0"/>
          <w:sz w:val="32"/>
          <w:szCs w:val="32"/>
          <w:lang w:val="en-US" w:eastAsia="zh-CN" w:bidi="ar-SA"/>
        </w:rPr>
      </w:pPr>
    </w:p>
    <w:p>
      <w:pPr>
        <w:spacing w:line="360" w:lineRule="auto"/>
        <w:ind w:firstLine="420" w:firstLineChars="200"/>
        <w:jc w:val="left"/>
        <w:rPr>
          <w:rFonts w:hint="eastAsia" w:ascii="宋体" w:hAnsi="宋体" w:eastAsia="宋体" w:cs="宋体"/>
          <w:color w:val="auto"/>
          <w:szCs w:val="21"/>
        </w:rPr>
      </w:pPr>
    </w:p>
    <w:p>
      <w:pPr>
        <w:spacing w:line="360" w:lineRule="auto"/>
        <w:ind w:firstLine="420" w:firstLineChars="200"/>
        <w:jc w:val="left"/>
        <w:rPr>
          <w:rFonts w:hint="eastAsia" w:ascii="宋体" w:hAnsi="宋体" w:eastAsia="宋体" w:cs="宋体"/>
          <w:color w:val="auto"/>
          <w:szCs w:val="21"/>
        </w:rPr>
      </w:pPr>
    </w:p>
    <w:p>
      <w:pPr>
        <w:spacing w:line="360" w:lineRule="auto"/>
        <w:ind w:firstLine="420" w:firstLineChars="200"/>
        <w:jc w:val="left"/>
        <w:rPr>
          <w:rFonts w:hint="eastAsia" w:ascii="宋体" w:hAnsi="宋体" w:eastAsia="宋体" w:cs="宋体"/>
          <w:color w:val="auto"/>
          <w:szCs w:val="21"/>
        </w:rPr>
      </w:pPr>
    </w:p>
    <w:p>
      <w:pPr>
        <w:adjustRightInd w:val="0"/>
        <w:snapToGrid w:val="0"/>
        <w:spacing w:line="360" w:lineRule="auto"/>
        <w:ind w:firstLine="420" w:firstLineChars="200"/>
        <w:jc w:val="left"/>
        <w:rPr>
          <w:rFonts w:hint="eastAsia" w:ascii="宋体" w:hAnsi="宋体" w:eastAsia="宋体" w:cs="宋体"/>
          <w:color w:val="auto"/>
          <w:szCs w:val="21"/>
        </w:rPr>
      </w:pPr>
    </w:p>
    <w:p>
      <w:pPr>
        <w:spacing w:line="360" w:lineRule="auto"/>
        <w:ind w:firstLine="420" w:firstLineChars="200"/>
        <w:jc w:val="left"/>
        <w:rPr>
          <w:rFonts w:hint="eastAsia" w:ascii="宋体" w:hAnsi="宋体" w:eastAsia="宋体" w:cs="宋体"/>
          <w:color w:val="auto"/>
          <w:szCs w:val="21"/>
        </w:rPr>
      </w:pPr>
    </w:p>
    <w:p>
      <w:pPr>
        <w:spacing w:line="360" w:lineRule="auto"/>
        <w:ind w:firstLine="420" w:firstLineChars="200"/>
        <w:jc w:val="left"/>
        <w:rPr>
          <w:rFonts w:hint="eastAsia" w:ascii="宋体" w:hAnsi="宋体" w:eastAsia="宋体" w:cs="宋体"/>
          <w:color w:val="auto"/>
          <w:szCs w:val="21"/>
        </w:rPr>
      </w:pPr>
    </w:p>
    <w:p>
      <w:pPr>
        <w:rPr>
          <w:rFonts w:hint="eastAsia" w:ascii="宋体" w:hAnsi="宋体" w:eastAsia="宋体" w:cs="宋体"/>
          <w:color w:val="auto"/>
          <w:szCs w:val="21"/>
        </w:rPr>
      </w:pPr>
      <w:r>
        <w:rPr>
          <w:rFonts w:hint="eastAsia" w:ascii="宋体" w:hAnsi="宋体" w:eastAsia="宋体" w:cs="宋体"/>
          <w:color w:val="auto"/>
          <w:szCs w:val="21"/>
        </w:rPr>
        <w:br w:type="page"/>
      </w:r>
    </w:p>
    <w:p>
      <w:pPr>
        <w:pStyle w:val="2"/>
        <w:bidi w:val="0"/>
        <w:jc w:val="center"/>
        <w:rPr>
          <w:rFonts w:hint="eastAsia"/>
          <w:color w:val="auto"/>
        </w:rPr>
      </w:pPr>
      <w:bookmarkStart w:id="51" w:name="_Toc12526"/>
      <w:r>
        <w:rPr>
          <w:rFonts w:hint="eastAsia"/>
          <w:color w:val="auto"/>
        </w:rPr>
        <w:t>第五部分  教师队伍建设</w:t>
      </w:r>
      <w:bookmarkEnd w:id="51"/>
    </w:p>
    <w:p>
      <w:pPr>
        <w:pStyle w:val="3"/>
        <w:bidi w:val="0"/>
        <w:jc w:val="center"/>
        <w:rPr>
          <w:color w:val="auto"/>
        </w:rPr>
      </w:pPr>
      <w:bookmarkStart w:id="52" w:name="_Toc6161"/>
      <w:r>
        <w:rPr>
          <w:rFonts w:hint="eastAsia"/>
          <w:color w:val="auto"/>
        </w:rPr>
        <w:t>专业带头人评选管理办法</w:t>
      </w:r>
      <w:bookmarkEnd w:id="52"/>
    </w:p>
    <w:p>
      <w:pPr>
        <w:widowControl/>
        <w:spacing w:before="0" w:beforeAutospacing="0" w:after="0" w:afterAutospacing="0" w:line="360" w:lineRule="auto"/>
        <w:ind w:firstLine="480" w:firstLineChars="200"/>
        <w:jc w:val="center"/>
        <w:rPr>
          <w:rFonts w:ascii="宋体" w:hAnsi="宋体" w:eastAsia="宋体" w:cs="Times New Roman"/>
          <w:color w:val="auto"/>
          <w:kern w:val="0"/>
          <w:sz w:val="24"/>
          <w:szCs w:val="24"/>
          <w:lang w:val="en-US" w:eastAsia="zh-CN" w:bidi="ar-SA"/>
        </w:rPr>
      </w:pPr>
    </w:p>
    <w:p>
      <w:pPr>
        <w:widowControl w:val="0"/>
        <w:adjustRightInd w:val="0"/>
        <w:snapToGrid w:val="0"/>
        <w:spacing w:after="120" w:line="360" w:lineRule="auto"/>
        <w:ind w:left="0" w:leftChars="0" w:firstLine="480" w:firstLineChars="200"/>
        <w:jc w:val="both"/>
        <w:rPr>
          <w:rFonts w:ascii="Calibri" w:hAnsi="Calibri" w:eastAsia="宋体" w:cs="Times New Roman"/>
          <w:color w:val="auto"/>
          <w:kern w:val="0"/>
          <w:sz w:val="24"/>
          <w:szCs w:val="20"/>
          <w:lang w:val="en-US" w:eastAsia="zh-CN" w:bidi="ar-SA"/>
        </w:rPr>
      </w:pPr>
      <w:r>
        <w:rPr>
          <w:rFonts w:hint="eastAsia" w:ascii="Calibri" w:hAnsi="Calibri" w:eastAsia="宋体" w:cs="Times New Roman"/>
          <w:color w:val="auto"/>
          <w:kern w:val="0"/>
          <w:sz w:val="24"/>
          <w:szCs w:val="20"/>
          <w:lang w:val="en-US" w:eastAsia="zh-CN" w:bidi="ar-SA"/>
        </w:rPr>
        <w:t>为全面适应职业教育教学改革和发展的需要，加强师资队伍建设，鼓励教师教书育人，积极开展教研、教学改革活动，在教师中选拔一批专业建设带头人，促进专业建设、课程建设、教改、科研水平的全面提高，促进师资队伍整体素质的提高，促进教学质量的提高和办学层次的提升，全面增强学院科技创新能力，提高在社会中知名度和办学实力。根据师资队伍建设规划的要求，结合学院的实际，开展专业建设带头人评选工作，特制定本办法。</w:t>
      </w:r>
    </w:p>
    <w:p>
      <w:pPr>
        <w:widowControl w:val="0"/>
        <w:adjustRightInd w:val="0"/>
        <w:snapToGrid w:val="0"/>
        <w:spacing w:after="120" w:line="360" w:lineRule="auto"/>
        <w:ind w:left="0" w:leftChars="0" w:firstLine="482" w:firstLineChars="200"/>
        <w:jc w:val="both"/>
        <w:rPr>
          <w:rFonts w:ascii="Calibri" w:hAnsi="Calibri" w:eastAsia="宋体" w:cs="Times New Roman"/>
          <w:color w:val="auto"/>
          <w:kern w:val="0"/>
          <w:sz w:val="24"/>
          <w:szCs w:val="20"/>
          <w:lang w:val="en-US" w:eastAsia="zh-CN" w:bidi="ar-SA"/>
        </w:rPr>
      </w:pPr>
      <w:r>
        <w:rPr>
          <w:rFonts w:hint="eastAsia" w:ascii="Calibri" w:hAnsi="Calibri" w:eastAsia="宋体" w:cs="Times New Roman"/>
          <w:b/>
          <w:bCs/>
          <w:color w:val="auto"/>
          <w:kern w:val="0"/>
          <w:sz w:val="24"/>
          <w:szCs w:val="20"/>
          <w:lang w:val="en-US" w:eastAsia="zh-CN" w:bidi="ar-SA"/>
        </w:rPr>
        <w:t>一、选拔范围：</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学院在职全体教师。</w:t>
      </w:r>
    </w:p>
    <w:p>
      <w:pPr>
        <w:widowControl w:val="0"/>
        <w:spacing w:after="0" w:line="360" w:lineRule="auto"/>
        <w:ind w:left="0" w:leftChars="0" w:firstLine="482" w:firstLineChars="200"/>
        <w:jc w:val="both"/>
        <w:rPr>
          <w:rFonts w:ascii="宋体" w:hAnsi="Calibri" w:eastAsia="宋体" w:cs="Times New Roman"/>
          <w:b/>
          <w:bCs/>
          <w:color w:val="auto"/>
          <w:kern w:val="0"/>
          <w:sz w:val="24"/>
          <w:szCs w:val="24"/>
          <w:lang w:val="en-US" w:eastAsia="zh-CN" w:bidi="ar-SA"/>
        </w:rPr>
      </w:pPr>
      <w:r>
        <w:rPr>
          <w:rFonts w:hint="eastAsia" w:ascii="宋体" w:hAnsi="宋体" w:eastAsia="宋体" w:cs="Times New Roman"/>
          <w:b/>
          <w:bCs/>
          <w:color w:val="auto"/>
          <w:kern w:val="0"/>
          <w:sz w:val="24"/>
          <w:szCs w:val="24"/>
          <w:lang w:val="en-US" w:eastAsia="zh-CN" w:bidi="ar-SA"/>
        </w:rPr>
        <w:t>二、选拔条件：</w:t>
      </w:r>
      <w:r>
        <w:rPr>
          <w:rFonts w:ascii="宋体" w:hAnsi="宋体" w:eastAsia="宋体" w:cs="Times New Roman"/>
          <w:b/>
          <w:bCs/>
          <w:color w:val="auto"/>
          <w:kern w:val="0"/>
          <w:sz w:val="24"/>
          <w:szCs w:val="24"/>
          <w:lang w:val="en-US" w:eastAsia="zh-CN" w:bidi="ar-SA"/>
        </w:rPr>
        <w:t xml:space="preserve"> </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（一）具有良好的政治素质，德才兼备，有强烈的事业心和奉献精神，为人师表，作风正派，治学严谨，勇于开拓，敢于创新；</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（二）双师型教师，并且在教学一线工作（含“双肩挑”教师），从事教育教学工作</w:t>
      </w:r>
      <w:r>
        <w:rPr>
          <w:rFonts w:ascii="宋体" w:hAnsi="宋体" w:eastAsia="宋体" w:cs="Times New Roman"/>
          <w:color w:val="auto"/>
          <w:sz w:val="24"/>
          <w:szCs w:val="24"/>
        </w:rPr>
        <w:t>5</w:t>
      </w:r>
      <w:r>
        <w:rPr>
          <w:rFonts w:hint="eastAsia" w:ascii="宋体" w:hAnsi="宋体" w:eastAsia="宋体" w:cs="Times New Roman"/>
          <w:color w:val="auto"/>
          <w:sz w:val="24"/>
          <w:szCs w:val="24"/>
        </w:rPr>
        <w:t>年以上，身体健康；</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（三）在本专业或本学科教学工作、教学改革和科学研究方面成绩突出，教学质量评价优良，受到同行一致公认，并在同行中有较高的知名度；</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（四）具有较强的组织、协调能力，具备带领其他教师开展教学基本建设、教学与科学研究、教育教学改革的能力，并能对学科的发展、建设提出具前瞻性、预见性的见解；</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（五）具有高级职称或硕士毕业。</w:t>
      </w:r>
    </w:p>
    <w:p>
      <w:pPr>
        <w:adjustRightInd w:val="0"/>
        <w:snapToGrid w:val="0"/>
        <w:spacing w:line="360" w:lineRule="auto"/>
        <w:ind w:firstLine="482" w:firstLineChars="200"/>
        <w:rPr>
          <w:rFonts w:ascii="宋体" w:hAnsi="Calibri" w:eastAsia="宋体" w:cs="Times New Roman"/>
          <w:b/>
          <w:bCs/>
          <w:color w:val="auto"/>
          <w:sz w:val="24"/>
          <w:szCs w:val="24"/>
        </w:rPr>
      </w:pPr>
      <w:r>
        <w:rPr>
          <w:rFonts w:hint="eastAsia" w:ascii="宋体" w:hAnsi="宋体" w:eastAsia="宋体" w:cs="Times New Roman"/>
          <w:b/>
          <w:bCs/>
          <w:color w:val="auto"/>
          <w:sz w:val="24"/>
          <w:szCs w:val="24"/>
        </w:rPr>
        <w:t>三、选拔程序</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个人申报、</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审核，报校长办公会讨论，选拔结果经学院审定，并进行公示。</w:t>
      </w:r>
    </w:p>
    <w:p>
      <w:pPr>
        <w:adjustRightInd w:val="0"/>
        <w:snapToGrid w:val="0"/>
        <w:spacing w:line="360" w:lineRule="auto"/>
        <w:ind w:firstLine="482" w:firstLineChars="200"/>
        <w:rPr>
          <w:rFonts w:ascii="宋体" w:hAnsi="Calibri" w:eastAsia="宋体" w:cs="Times New Roman"/>
          <w:b/>
          <w:bCs/>
          <w:color w:val="auto"/>
          <w:sz w:val="24"/>
          <w:szCs w:val="24"/>
        </w:rPr>
      </w:pPr>
      <w:r>
        <w:rPr>
          <w:rFonts w:hint="eastAsia" w:ascii="宋体" w:hAnsi="宋体" w:eastAsia="宋体" w:cs="Times New Roman"/>
          <w:b/>
          <w:bCs/>
          <w:color w:val="auto"/>
          <w:sz w:val="24"/>
          <w:szCs w:val="24"/>
        </w:rPr>
        <w:t>四、津贴标准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经选拔产生的专业带头人享受</w:t>
      </w:r>
      <w:r>
        <w:rPr>
          <w:rFonts w:ascii="宋体" w:hAnsi="宋体" w:eastAsia="宋体" w:cs="Times New Roman"/>
          <w:color w:val="auto"/>
          <w:sz w:val="24"/>
          <w:szCs w:val="24"/>
        </w:rPr>
        <w:t>300</w:t>
      </w:r>
      <w:r>
        <w:rPr>
          <w:rFonts w:hint="eastAsia" w:ascii="宋体" w:hAnsi="宋体" w:eastAsia="宋体" w:cs="Times New Roman"/>
          <w:color w:val="auto"/>
          <w:sz w:val="24"/>
          <w:szCs w:val="24"/>
        </w:rPr>
        <w:t>元</w:t>
      </w:r>
      <w:r>
        <w:rPr>
          <w:rFonts w:ascii="宋体" w:hAnsi="宋体" w:eastAsia="宋体" w:cs="Times New Roman"/>
          <w:color w:val="auto"/>
          <w:sz w:val="24"/>
          <w:szCs w:val="24"/>
        </w:rPr>
        <w:t>/</w:t>
      </w:r>
      <w:r>
        <w:rPr>
          <w:rFonts w:hint="eastAsia" w:ascii="宋体" w:hAnsi="宋体" w:eastAsia="宋体" w:cs="Times New Roman"/>
          <w:color w:val="auto"/>
          <w:sz w:val="24"/>
          <w:szCs w:val="24"/>
        </w:rPr>
        <w:t>月的津贴。</w:t>
      </w:r>
    </w:p>
    <w:p>
      <w:pPr>
        <w:adjustRightInd w:val="0"/>
        <w:snapToGrid w:val="0"/>
        <w:spacing w:line="360" w:lineRule="auto"/>
        <w:ind w:firstLine="482" w:firstLineChars="200"/>
        <w:rPr>
          <w:rFonts w:ascii="宋体" w:hAnsi="Calibri" w:eastAsia="宋体" w:cs="Times New Roman"/>
          <w:b/>
          <w:bCs/>
          <w:color w:val="auto"/>
          <w:sz w:val="24"/>
          <w:szCs w:val="24"/>
        </w:rPr>
      </w:pPr>
      <w:r>
        <w:rPr>
          <w:rFonts w:hint="eastAsia" w:ascii="宋体" w:hAnsi="宋体" w:eastAsia="宋体" w:cs="Times New Roman"/>
          <w:b/>
          <w:bCs/>
          <w:color w:val="auto"/>
          <w:sz w:val="24"/>
          <w:szCs w:val="24"/>
        </w:rPr>
        <w:t>五、管理</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（一）按照“动态聘任、严格考核、公开竞争、择优淘劣”的原则，学院对专业带头人进行严格考核，实行动态管理。对选拔产生的专业带头人授予称号、证书，聘期</w:t>
      </w:r>
      <w:r>
        <w:rPr>
          <w:rFonts w:ascii="宋体" w:hAnsi="宋体" w:eastAsia="宋体" w:cs="Times New Roman"/>
          <w:color w:val="auto"/>
          <w:sz w:val="24"/>
          <w:szCs w:val="24"/>
        </w:rPr>
        <w:t>3</w:t>
      </w:r>
      <w:r>
        <w:rPr>
          <w:rFonts w:hint="eastAsia" w:ascii="宋体" w:hAnsi="宋体" w:eastAsia="宋体" w:cs="Times New Roman"/>
          <w:color w:val="auto"/>
          <w:sz w:val="24"/>
          <w:szCs w:val="24"/>
        </w:rPr>
        <w:t>年。</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（二）坚持培养与使用相结合的原则。专业带头人培养人员在参加有关学术活动、进修学习等方面享有优先权，以不断补充新知识、掌握本学科教学、科研的动态，不断提高教学、科研能力。</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（三）实行动态管理，建立考绩档案。对选拔产生的专业带头人，每年进行考核，考核结果作为奖励和是否保留该称号的主要依据；聘期结束，经考核合格者，发当年津贴；考核不合格者不享受津贴。</w:t>
      </w:r>
    </w:p>
    <w:p>
      <w:pPr>
        <w:spacing w:line="360" w:lineRule="auto"/>
        <w:rPr>
          <w:rFonts w:ascii="宋体" w:hAnsi="Calibri" w:eastAsia="宋体" w:cs="Times New Roman"/>
          <w:color w:val="auto"/>
          <w:sz w:val="24"/>
          <w:szCs w:val="24"/>
        </w:rPr>
      </w:pPr>
    </w:p>
    <w:p>
      <w:pPr>
        <w:spacing w:line="360" w:lineRule="auto"/>
        <w:ind w:firstLine="480" w:firstLineChars="200"/>
        <w:jc w:val="right"/>
        <w:rPr>
          <w:rFonts w:ascii="宋体" w:hAnsi="Calibri" w:eastAsia="宋体" w:cs="Times New Roman"/>
          <w:color w:val="auto"/>
          <w:sz w:val="24"/>
          <w:szCs w:val="24"/>
        </w:rPr>
      </w:pP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53" w:name="_Toc16531"/>
      <w:r>
        <w:rPr>
          <w:rFonts w:hint="eastAsia"/>
          <w:color w:val="auto"/>
        </w:rPr>
        <w:t>院级名师评选管理办法</w:t>
      </w:r>
      <w:bookmarkEnd w:id="53"/>
    </w:p>
    <w:p>
      <w:pPr>
        <w:spacing w:line="360" w:lineRule="auto"/>
        <w:ind w:firstLine="200"/>
        <w:rPr>
          <w:rFonts w:ascii="宋体" w:hAnsi="Calibri" w:eastAsia="宋体" w:cs="Times New Roman"/>
          <w:color w:val="auto"/>
        </w:rPr>
      </w:pPr>
    </w:p>
    <w:p>
      <w:pPr>
        <w:widowControl/>
        <w:shd w:val="clear" w:color="auto" w:fill="FFFFFF"/>
        <w:spacing w:line="360" w:lineRule="auto"/>
        <w:ind w:firstLine="480" w:firstLineChars="200"/>
        <w:jc w:val="left"/>
        <w:rPr>
          <w:rFonts w:ascii="宋体" w:hAnsi="Calibri" w:eastAsia="宋体" w:cs="宋体"/>
          <w:b/>
          <w:bCs/>
          <w:color w:val="auto"/>
          <w:kern w:val="0"/>
          <w:sz w:val="24"/>
          <w:szCs w:val="24"/>
        </w:rPr>
      </w:pPr>
      <w:r>
        <w:rPr>
          <w:rFonts w:hint="eastAsia" w:ascii="宋体" w:hAnsi="宋体" w:eastAsia="宋体" w:cs="宋体"/>
          <w:color w:val="auto"/>
          <w:kern w:val="0"/>
          <w:sz w:val="24"/>
          <w:szCs w:val="24"/>
        </w:rPr>
        <w:t>为进一步加强我院教师队伍建设，实施人才强院战略，深化学院教育教学改革，不断提高教师全面素质，特别是教学创新能力、学科知识拓展能力、专业教师的实践操作能力和教育教学科研能力，在整体提高教师教学能力的基础上，培养一批学者型教师、专家型教师。结合我院实际，制定学院名师</w:t>
      </w:r>
      <w:r>
        <w:rPr>
          <w:rFonts w:hint="eastAsia" w:ascii="宋体" w:hAnsi="宋体" w:eastAsia="宋体" w:cs="宋体"/>
          <w:bCs/>
          <w:color w:val="auto"/>
          <w:kern w:val="0"/>
          <w:sz w:val="24"/>
          <w:szCs w:val="24"/>
        </w:rPr>
        <w:t>评选管理办法，并实行名师工程</w:t>
      </w:r>
      <w:r>
        <w:rPr>
          <w:rFonts w:hint="eastAsia" w:ascii="宋体" w:hAnsi="宋体" w:eastAsia="宋体" w:cs="宋体"/>
          <w:color w:val="auto"/>
          <w:kern w:val="0"/>
          <w:sz w:val="24"/>
          <w:szCs w:val="24"/>
        </w:rPr>
        <w:t>。</w:t>
      </w:r>
    </w:p>
    <w:p>
      <w:pPr>
        <w:widowControl/>
        <w:shd w:val="clear" w:color="auto" w:fill="FFFFFF"/>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一、指导思想</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以《国家中长期教育改革和发展规划纲要》为指导，建设一支适应我院教育教学改革和发展需要的高层次、高素质的师资队伍，带动全院教师整体素质的全面提高，为实现教育现代化提供人才保障。</w:t>
      </w:r>
    </w:p>
    <w:p>
      <w:pPr>
        <w:widowControl/>
        <w:shd w:val="clear" w:color="auto" w:fill="FFFFFF"/>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二、评选原则</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（一）全员性原则。名师工程旨在带动全体教师，因此，名师评选在全体教师培养基础上进行。</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（二）竞争激励原则。在全员培养的基础上，对于积极上进，师德高尚，业务精湛的教师，学院将重点培养，以引领教师整体水平的提高。学院以外各级名师的推荐，将在院级名师的基础上推荐。</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（三）学院培养与自觉发展相结合原则。名师的培养，首先是教师个人要有积极上进、自我发展的需求，同时学院将努力成就教师，实现教师的名师追求。</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（四）责权利相结合原则。名师不仅是一种荣誉与追求，名师工程的实施，必须遵循责权利和利益相统一的原则。</w:t>
      </w:r>
    </w:p>
    <w:p>
      <w:pPr>
        <w:widowControl/>
        <w:shd w:val="clear" w:color="auto" w:fill="FFFFFF"/>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三、目标</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通过三年的努力，使学院教师树立现代教育理念，通过理论学习、教学实践、教学科研、专家指导、业务培训、优秀奖励等措施，在教师整体素质提高的基础上，培养一批师德高尚、业务精湛，有明显教学特色与风格，在院内外有一定影响力，并能带动学科其他教师共同发展的学院名师。</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具体目标如下：</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（一）培养一批德才兼备，在学院、市内、全省乃至全国有一定知名度的名师。</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（二）建立促进名优教师成长的竞争激励机制。通过学院名师工程的实施，探索和创新教师管理体制，建立有利于名优教师成长的激励和管理机制，在全院形成奋发向上、有序竞争的环境和氛围。</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（三）通过实施名师工程，发挥名优教师示范和辐射作用，增强广大教师终身学习、不断提高的自觉性和紧迫感，树立现代教育理念，促进教师专业化发展，全面推进教育创新，提升教育科研总体水平。</w:t>
      </w:r>
    </w:p>
    <w:p>
      <w:pPr>
        <w:widowControl/>
        <w:shd w:val="clear" w:color="auto" w:fill="FFFFFF"/>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bCs/>
          <w:color w:val="auto"/>
          <w:kern w:val="0"/>
          <w:sz w:val="24"/>
          <w:szCs w:val="24"/>
        </w:rPr>
        <w:t>四、</w:t>
      </w:r>
      <w:r>
        <w:rPr>
          <w:rFonts w:hint="eastAsia" w:ascii="宋体" w:hAnsi="宋体" w:eastAsia="宋体" w:cs="宋体"/>
          <w:b/>
          <w:color w:val="auto"/>
          <w:kern w:val="0"/>
          <w:sz w:val="24"/>
          <w:szCs w:val="24"/>
        </w:rPr>
        <w:t>实施周期</w:t>
      </w:r>
      <w:r>
        <w:rPr>
          <w:rFonts w:ascii="宋体" w:hAnsi="宋体" w:eastAsia="宋体" w:cs="宋体"/>
          <w:b/>
          <w:bCs/>
          <w:color w:val="auto"/>
          <w:kern w:val="0"/>
          <w:sz w:val="24"/>
          <w:szCs w:val="24"/>
        </w:rPr>
        <w:t xml:space="preserve">      </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院级名师工程的实施周期为三年。</w:t>
      </w:r>
    </w:p>
    <w:p>
      <w:pPr>
        <w:widowControl/>
        <w:shd w:val="clear" w:color="auto" w:fill="FFFFFF"/>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五、名师评选条件</w:t>
      </w:r>
    </w:p>
    <w:p>
      <w:pPr>
        <w:widowControl/>
        <w:shd w:val="clear" w:color="auto" w:fill="FFFFFF"/>
        <w:spacing w:line="360" w:lineRule="auto"/>
        <w:ind w:firstLine="141" w:firstLineChars="59"/>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（一）必备条件</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1.</w:t>
      </w:r>
      <w:r>
        <w:rPr>
          <w:rFonts w:hint="eastAsia" w:ascii="宋体" w:hAnsi="宋体" w:eastAsia="宋体" w:cs="宋体"/>
          <w:color w:val="auto"/>
          <w:kern w:val="0"/>
          <w:sz w:val="24"/>
          <w:szCs w:val="24"/>
        </w:rPr>
        <w:t>从事教育教学一线、师德高尚、业务精湛、积极承担学院工作的优秀教师。</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院级名师应具有高级职称或博士学位。</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在教学能力和效果方面，具有扎实的专业基础和较强的实践动手能力，在教学中努力钻研教学方法的科学性、有效性，在教学上具有一定的教学风格与特色，教学效果得到学生的肯定。</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4.</w:t>
      </w:r>
      <w:r>
        <w:rPr>
          <w:rFonts w:hint="eastAsia" w:ascii="宋体" w:hAnsi="宋体" w:eastAsia="宋体" w:cs="宋体"/>
          <w:color w:val="auto"/>
          <w:kern w:val="0"/>
          <w:sz w:val="24"/>
          <w:szCs w:val="24"/>
        </w:rPr>
        <w:t>在教育教学科研方面，能结合理论学习和教育教学实际，积极撰写教育教学论文、案例，积极参与教学课题研究，积极参与院本教材或市级以上规划教材编写，并取得一定成绩。</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（二）选备条件</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院内名师的还必须具备以下条件中的五条：</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1.</w:t>
      </w:r>
      <w:r>
        <w:rPr>
          <w:rFonts w:hint="eastAsia" w:ascii="宋体" w:hAnsi="宋体" w:eastAsia="宋体" w:cs="宋体"/>
          <w:color w:val="auto"/>
          <w:kern w:val="0"/>
          <w:sz w:val="24"/>
          <w:szCs w:val="24"/>
        </w:rPr>
        <w:t>获得过市属级以上奖励或荣誉称号。</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有专著或编辑的教学用书出版；或有院本教材且在院内使用。</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主持省级及以上课题研究项目，并获得市级优秀成果三等奖以上。</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4</w:t>
      </w:r>
      <w:r>
        <w:rPr>
          <w:rFonts w:ascii="宋体" w:hAnsi="Calibri" w:eastAsia="宋体" w:cs="宋体"/>
          <w:color w:val="auto"/>
          <w:kern w:val="0"/>
          <w:sz w:val="24"/>
          <w:szCs w:val="24"/>
        </w:rPr>
        <w:t>.</w:t>
      </w:r>
      <w:r>
        <w:rPr>
          <w:rFonts w:hint="eastAsia" w:ascii="宋体" w:hAnsi="宋体" w:eastAsia="宋体" w:cs="宋体"/>
          <w:color w:val="auto"/>
          <w:kern w:val="0"/>
          <w:sz w:val="24"/>
          <w:szCs w:val="24"/>
        </w:rPr>
        <w:t>积极参与师徒结对活动，并指导一名以上青年教师，且成效显著。</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5.</w:t>
      </w:r>
      <w:r>
        <w:rPr>
          <w:rFonts w:hint="eastAsia" w:ascii="宋体" w:hAnsi="宋体" w:eastAsia="宋体" w:cs="宋体"/>
          <w:color w:val="auto"/>
          <w:kern w:val="0"/>
          <w:sz w:val="24"/>
          <w:szCs w:val="24"/>
        </w:rPr>
        <w:t>开设过院级及以上教育教学专题讲座，或开设公开课、观摩课等。</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6.</w:t>
      </w:r>
      <w:r>
        <w:rPr>
          <w:rFonts w:hint="eastAsia" w:ascii="宋体" w:hAnsi="宋体" w:eastAsia="宋体" w:cs="宋体"/>
          <w:color w:val="auto"/>
          <w:kern w:val="0"/>
          <w:sz w:val="24"/>
          <w:szCs w:val="24"/>
        </w:rPr>
        <w:t>在参加由教育、人力社保局等主管部门组织的各类竞赛中，本人或指导学生获得省级二等奖、国家级三等奖或以上。</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7.</w:t>
      </w:r>
      <w:r>
        <w:rPr>
          <w:rFonts w:hint="eastAsia" w:ascii="宋体" w:hAnsi="宋体" w:eastAsia="宋体" w:cs="宋体"/>
          <w:color w:val="auto"/>
          <w:kern w:val="0"/>
          <w:sz w:val="24"/>
          <w:szCs w:val="24"/>
        </w:rPr>
        <w:t>专业教师取得双师型教师资格。</w:t>
      </w:r>
    </w:p>
    <w:p>
      <w:pPr>
        <w:widowControl/>
        <w:shd w:val="clear" w:color="auto" w:fill="FFFFFF"/>
        <w:spacing w:line="360" w:lineRule="auto"/>
        <w:ind w:left="200" w:firstLine="0" w:firstLineChars="0"/>
        <w:jc w:val="left"/>
        <w:rPr>
          <w:rFonts w:ascii="宋体" w:hAnsi="Calibri" w:eastAsia="宋体" w:cs="宋体"/>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六、</w:t>
      </w:r>
      <w:r>
        <w:rPr>
          <w:rFonts w:ascii="宋体" w:hAnsi="宋体" w:eastAsia="宋体" w:cs="宋体"/>
          <w:b/>
          <w:bCs/>
          <w:color w:val="auto"/>
          <w:kern w:val="0"/>
          <w:sz w:val="24"/>
          <w:szCs w:val="24"/>
          <w:lang w:val="en-US" w:eastAsia="zh-CN" w:bidi="ar-SA"/>
        </w:rPr>
        <w:t xml:space="preserve"> </w:t>
      </w:r>
      <w:r>
        <w:rPr>
          <w:rFonts w:hint="eastAsia" w:ascii="宋体" w:hAnsi="宋体" w:eastAsia="宋体" w:cs="宋体"/>
          <w:b/>
          <w:bCs/>
          <w:color w:val="auto"/>
          <w:kern w:val="0"/>
          <w:sz w:val="24"/>
          <w:szCs w:val="24"/>
          <w:lang w:val="en-US" w:eastAsia="zh-CN" w:bidi="ar-SA"/>
        </w:rPr>
        <w:t>院级教学名师的职责</w:t>
      </w:r>
      <w:r>
        <w:rPr>
          <w:rFonts w:ascii="宋体" w:hAnsi="Calibri" w:eastAsia="宋体" w:cs="宋体"/>
          <w:color w:val="auto"/>
          <w:kern w:val="0"/>
          <w:sz w:val="24"/>
          <w:szCs w:val="24"/>
          <w:lang w:val="en-US" w:eastAsia="zh-CN" w:bidi="ar-SA"/>
        </w:rPr>
        <w:t>.</w:t>
      </w:r>
    </w:p>
    <w:p>
      <w:pPr>
        <w:widowControl/>
        <w:shd w:val="clear" w:color="auto" w:fill="FFFFFF"/>
        <w:spacing w:line="360" w:lineRule="auto"/>
        <w:ind w:left="200" w:firstLine="480" w:firstLineChars="200"/>
        <w:jc w:val="left"/>
        <w:rPr>
          <w:rFonts w:ascii="宋体" w:hAnsi="Calibri" w:eastAsia="宋体" w:cs="宋体"/>
          <w:color w:val="auto"/>
          <w:kern w:val="0"/>
          <w:sz w:val="24"/>
          <w:szCs w:val="24"/>
          <w:lang w:val="en-US" w:eastAsia="zh-CN" w:bidi="ar-SA"/>
        </w:rPr>
      </w:pPr>
      <w:r>
        <w:rPr>
          <w:rFonts w:ascii="宋体" w:hAnsi="宋体" w:eastAsia="宋体" w:cs="宋体"/>
          <w:color w:val="auto"/>
          <w:kern w:val="0"/>
          <w:sz w:val="24"/>
          <w:szCs w:val="24"/>
          <w:lang w:val="en-US" w:eastAsia="zh-CN" w:bidi="ar-SA"/>
        </w:rPr>
        <w:t>1.</w:t>
      </w:r>
      <w:r>
        <w:rPr>
          <w:rFonts w:hint="eastAsia" w:ascii="宋体" w:hAnsi="宋体" w:eastAsia="宋体" w:cs="宋体"/>
          <w:color w:val="auto"/>
          <w:kern w:val="0"/>
          <w:sz w:val="24"/>
          <w:szCs w:val="24"/>
          <w:lang w:val="en-US" w:eastAsia="zh-CN" w:bidi="ar-SA"/>
        </w:rPr>
        <w:t>积极参与学院专业建设，包括：培养方案、课程模式、教学方法、教材等改革；培养周期内能牵头完成一门精品课程建设或完成一本校本教材，或参与有关出版社组织的教材编写工作。</w:t>
      </w:r>
    </w:p>
    <w:p>
      <w:pPr>
        <w:widowControl/>
        <w:shd w:val="clear" w:color="auto" w:fill="FFFFFF"/>
        <w:spacing w:line="360" w:lineRule="auto"/>
        <w:ind w:left="200" w:firstLine="480" w:firstLineChars="200"/>
        <w:jc w:val="left"/>
        <w:rPr>
          <w:rFonts w:ascii="宋体" w:hAnsi="Calibri" w:eastAsia="宋体" w:cs="宋体"/>
          <w:color w:val="auto"/>
          <w:kern w:val="0"/>
          <w:sz w:val="24"/>
          <w:szCs w:val="24"/>
          <w:lang w:val="en-US" w:eastAsia="zh-CN" w:bidi="ar-SA"/>
        </w:rPr>
      </w:pPr>
      <w:r>
        <w:rPr>
          <w:rFonts w:ascii="宋体" w:hAnsi="宋体" w:eastAsia="宋体" w:cs="宋体"/>
          <w:color w:val="auto"/>
          <w:kern w:val="0"/>
          <w:sz w:val="24"/>
          <w:szCs w:val="24"/>
          <w:lang w:val="en-US" w:eastAsia="zh-CN" w:bidi="ar-SA"/>
        </w:rPr>
        <w:t>2.</w:t>
      </w:r>
      <w:r>
        <w:rPr>
          <w:rFonts w:hint="eastAsia" w:ascii="宋体" w:hAnsi="宋体" w:eastAsia="宋体" w:cs="宋体"/>
          <w:color w:val="auto"/>
          <w:kern w:val="0"/>
          <w:sz w:val="24"/>
          <w:szCs w:val="24"/>
          <w:lang w:val="en-US" w:eastAsia="zh-CN" w:bidi="ar-SA"/>
        </w:rPr>
        <w:t>积极参与学院教学改革，为学院教学改革出谋划策，同时要及时总结学院及个人的教学成果，每两年主持一个教学研究课题，每年有一篇教学论文、案例发表或获奖。</w:t>
      </w:r>
    </w:p>
    <w:p>
      <w:pPr>
        <w:widowControl/>
        <w:shd w:val="clear" w:color="auto" w:fill="FFFFFF"/>
        <w:spacing w:line="360" w:lineRule="auto"/>
        <w:ind w:left="200" w:firstLine="480" w:firstLineChars="200"/>
        <w:jc w:val="left"/>
        <w:rPr>
          <w:rFonts w:ascii="宋体" w:hAnsi="Calibri" w:eastAsia="宋体" w:cs="宋体"/>
          <w:color w:val="auto"/>
          <w:kern w:val="0"/>
          <w:sz w:val="24"/>
          <w:szCs w:val="24"/>
          <w:lang w:val="en-US" w:eastAsia="zh-CN" w:bidi="ar-SA"/>
        </w:rPr>
      </w:pPr>
      <w:r>
        <w:rPr>
          <w:rFonts w:ascii="宋体" w:hAnsi="宋体" w:eastAsia="宋体" w:cs="宋体"/>
          <w:color w:val="auto"/>
          <w:kern w:val="0"/>
          <w:sz w:val="24"/>
          <w:szCs w:val="24"/>
          <w:lang w:val="en-US" w:eastAsia="zh-CN" w:bidi="ar-SA"/>
        </w:rPr>
        <w:t>3.</w:t>
      </w:r>
      <w:r>
        <w:rPr>
          <w:rFonts w:hint="eastAsia" w:ascii="宋体" w:hAnsi="宋体" w:eastAsia="宋体" w:cs="宋体"/>
          <w:color w:val="auto"/>
          <w:kern w:val="0"/>
          <w:sz w:val="24"/>
          <w:szCs w:val="24"/>
          <w:lang w:val="en-US" w:eastAsia="zh-CN" w:bidi="ar-SA"/>
        </w:rPr>
        <w:t>每年开出一堂公开课或研究课、观摩课。</w:t>
      </w:r>
    </w:p>
    <w:p>
      <w:pPr>
        <w:widowControl/>
        <w:shd w:val="clear" w:color="auto" w:fill="FFFFFF"/>
        <w:spacing w:line="360" w:lineRule="auto"/>
        <w:ind w:left="200" w:firstLine="480" w:firstLineChars="200"/>
        <w:jc w:val="left"/>
        <w:rPr>
          <w:rFonts w:ascii="宋体" w:hAnsi="Calibri" w:eastAsia="宋体" w:cs="宋体"/>
          <w:color w:val="auto"/>
          <w:kern w:val="0"/>
          <w:sz w:val="24"/>
          <w:szCs w:val="24"/>
          <w:lang w:val="en-US" w:eastAsia="zh-CN" w:bidi="ar-SA"/>
        </w:rPr>
      </w:pPr>
      <w:r>
        <w:rPr>
          <w:rFonts w:ascii="宋体" w:hAnsi="宋体" w:eastAsia="宋体" w:cs="宋体"/>
          <w:color w:val="auto"/>
          <w:kern w:val="0"/>
          <w:sz w:val="24"/>
          <w:szCs w:val="24"/>
          <w:lang w:val="en-US" w:eastAsia="zh-CN" w:bidi="ar-SA"/>
        </w:rPr>
        <w:t>4.</w:t>
      </w:r>
      <w:r>
        <w:rPr>
          <w:rFonts w:hint="eastAsia" w:ascii="宋体" w:hAnsi="宋体" w:eastAsia="宋体" w:cs="宋体"/>
          <w:color w:val="auto"/>
          <w:kern w:val="0"/>
          <w:sz w:val="24"/>
          <w:szCs w:val="24"/>
          <w:lang w:val="en-US" w:eastAsia="zh-CN" w:bidi="ar-SA"/>
        </w:rPr>
        <w:t>发挥名师示范、辐射、引领作用，培养周期内至少结对一名年青教师，助其成长，同时在教师中起好的示范、引领作用。</w:t>
      </w:r>
    </w:p>
    <w:p>
      <w:pPr>
        <w:widowControl/>
        <w:shd w:val="clear" w:color="auto" w:fill="FFFFFF"/>
        <w:spacing w:line="360" w:lineRule="auto"/>
        <w:ind w:left="200" w:firstLine="480" w:firstLineChars="200"/>
        <w:jc w:val="left"/>
        <w:rPr>
          <w:rFonts w:ascii="宋体" w:hAnsi="Calibri" w:eastAsia="宋体" w:cs="宋体"/>
          <w:color w:val="auto"/>
          <w:kern w:val="0"/>
          <w:sz w:val="24"/>
          <w:szCs w:val="24"/>
          <w:lang w:val="en-US" w:eastAsia="zh-CN" w:bidi="ar-SA"/>
        </w:rPr>
      </w:pPr>
      <w:r>
        <w:rPr>
          <w:rFonts w:ascii="宋体" w:hAnsi="宋体" w:eastAsia="宋体" w:cs="宋体"/>
          <w:color w:val="auto"/>
          <w:kern w:val="0"/>
          <w:sz w:val="24"/>
          <w:szCs w:val="24"/>
          <w:lang w:val="en-US" w:eastAsia="zh-CN" w:bidi="ar-SA"/>
        </w:rPr>
        <w:t>5.</w:t>
      </w:r>
      <w:r>
        <w:rPr>
          <w:rFonts w:hint="eastAsia" w:ascii="宋体" w:hAnsi="宋体" w:eastAsia="宋体" w:cs="宋体"/>
          <w:color w:val="auto"/>
          <w:kern w:val="0"/>
          <w:sz w:val="24"/>
          <w:szCs w:val="24"/>
          <w:lang w:val="en-US" w:eastAsia="zh-CN" w:bidi="ar-SA"/>
        </w:rPr>
        <w:t>积极参与本学科的各级各类竞赛，或培养、指导年青教师参与各级各类竞赛，并取得省级一等奖或以上成绩。</w:t>
      </w:r>
    </w:p>
    <w:p>
      <w:pPr>
        <w:widowControl/>
        <w:shd w:val="clear" w:color="auto" w:fill="FFFFFF"/>
        <w:spacing w:line="360" w:lineRule="auto"/>
        <w:ind w:left="200" w:firstLine="480" w:firstLineChars="200"/>
        <w:jc w:val="left"/>
        <w:rPr>
          <w:rFonts w:ascii="宋体" w:hAnsi="Calibri" w:eastAsia="宋体" w:cs="宋体"/>
          <w:color w:val="auto"/>
          <w:kern w:val="0"/>
          <w:sz w:val="24"/>
          <w:szCs w:val="24"/>
          <w:lang w:val="en-US" w:eastAsia="zh-CN" w:bidi="ar-SA"/>
        </w:rPr>
      </w:pPr>
      <w:r>
        <w:rPr>
          <w:rFonts w:ascii="宋体" w:hAnsi="宋体" w:eastAsia="宋体" w:cs="宋体"/>
          <w:color w:val="auto"/>
          <w:kern w:val="0"/>
          <w:sz w:val="24"/>
          <w:szCs w:val="24"/>
          <w:lang w:val="en-US" w:eastAsia="zh-CN" w:bidi="ar-SA"/>
        </w:rPr>
        <w:t>6.</w:t>
      </w:r>
      <w:r>
        <w:rPr>
          <w:rFonts w:hint="eastAsia" w:ascii="宋体" w:hAnsi="宋体" w:eastAsia="宋体" w:cs="宋体"/>
          <w:color w:val="auto"/>
          <w:kern w:val="0"/>
          <w:sz w:val="24"/>
          <w:szCs w:val="24"/>
          <w:lang w:val="en-US" w:eastAsia="zh-CN" w:bidi="ar-SA"/>
        </w:rPr>
        <w:t>在自主学习的基础上，积极参与学院组织的各项学习，努力提高自身的师德修养及业务素质，在职称、职业资格证书、社会兼职（与学院教学有关）等方面有一定进展。</w:t>
      </w:r>
    </w:p>
    <w:p>
      <w:pPr>
        <w:widowControl/>
        <w:shd w:val="clear" w:color="auto" w:fill="FFFFFF"/>
        <w:spacing w:line="360" w:lineRule="auto"/>
        <w:ind w:left="200" w:firstLine="480" w:firstLineChars="200"/>
        <w:jc w:val="left"/>
        <w:rPr>
          <w:rFonts w:ascii="宋体" w:hAnsi="Calibri" w:eastAsia="宋体" w:cs="宋体"/>
          <w:color w:val="auto"/>
          <w:kern w:val="0"/>
          <w:sz w:val="24"/>
          <w:szCs w:val="24"/>
          <w:lang w:val="en-US" w:eastAsia="zh-CN" w:bidi="ar-SA"/>
        </w:rPr>
      </w:pPr>
      <w:r>
        <w:rPr>
          <w:rFonts w:ascii="宋体" w:hAnsi="宋体" w:eastAsia="宋体" w:cs="宋体"/>
          <w:color w:val="auto"/>
          <w:kern w:val="0"/>
          <w:sz w:val="24"/>
          <w:szCs w:val="24"/>
          <w:lang w:val="en-US" w:eastAsia="zh-CN" w:bidi="ar-SA"/>
        </w:rPr>
        <w:t>7.</w:t>
      </w:r>
      <w:r>
        <w:rPr>
          <w:rFonts w:hint="eastAsia" w:ascii="宋体" w:hAnsi="宋体" w:eastAsia="宋体" w:cs="宋体"/>
          <w:color w:val="auto"/>
          <w:kern w:val="0"/>
          <w:sz w:val="24"/>
          <w:szCs w:val="24"/>
          <w:lang w:val="en-US" w:eastAsia="zh-CN" w:bidi="ar-SA"/>
        </w:rPr>
        <w:t>专业名师要加强和行业企业的合作与沟通，充分了解社会上本专业</w:t>
      </w:r>
    </w:p>
    <w:p>
      <w:pPr>
        <w:widowControl/>
        <w:shd w:val="clear" w:color="auto" w:fill="FFFFFF"/>
        <w:spacing w:line="360" w:lineRule="auto"/>
        <w:ind w:left="200" w:firstLine="0" w:firstLineChars="0"/>
        <w:jc w:val="left"/>
        <w:rPr>
          <w:rFonts w:ascii="宋体" w:hAnsi="Calibri"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新知识、新技术。</w:t>
      </w:r>
    </w:p>
    <w:p>
      <w:pPr>
        <w:widowControl/>
        <w:shd w:val="clear" w:color="auto" w:fill="FFFFFF"/>
        <w:spacing w:line="360" w:lineRule="auto"/>
        <w:ind w:firstLine="482" w:firstLineChars="200"/>
        <w:jc w:val="left"/>
        <w:rPr>
          <w:rFonts w:ascii="宋体" w:hAnsi="Calibri" w:eastAsia="宋体" w:cs="宋体"/>
          <w:color w:val="auto"/>
          <w:kern w:val="0"/>
          <w:sz w:val="24"/>
          <w:szCs w:val="24"/>
        </w:rPr>
      </w:pPr>
      <w:r>
        <w:rPr>
          <w:rFonts w:hint="eastAsia" w:ascii="宋体" w:hAnsi="宋体" w:eastAsia="宋体" w:cs="宋体"/>
          <w:b/>
          <w:bCs/>
          <w:color w:val="auto"/>
          <w:kern w:val="0"/>
          <w:sz w:val="24"/>
          <w:szCs w:val="24"/>
        </w:rPr>
        <w:t>七、管理与考核</w:t>
      </w:r>
    </w:p>
    <w:p>
      <w:pPr>
        <w:spacing w:line="360" w:lineRule="auto"/>
        <w:ind w:firstLine="480" w:firstLineChars="200"/>
        <w:rPr>
          <w:rFonts w:ascii="宋体" w:hAnsi="Calibri" w:eastAsia="宋体" w:cs="宋体"/>
          <w:color w:val="auto"/>
          <w:kern w:val="0"/>
          <w:sz w:val="24"/>
          <w:szCs w:val="24"/>
        </w:rPr>
      </w:pPr>
      <w:r>
        <w:rPr>
          <w:rFonts w:hint="eastAsia" w:ascii="宋体" w:hAnsi="宋体" w:eastAsia="宋体" w:cs="宋体"/>
          <w:color w:val="auto"/>
          <w:kern w:val="0"/>
          <w:sz w:val="24"/>
          <w:szCs w:val="24"/>
        </w:rPr>
        <w:t>建立名师“专业发展档案”和考核评价制度，实行动态管理、滚动发展。名师工程周期为</w:t>
      </w:r>
      <w:r>
        <w:rPr>
          <w:rFonts w:ascii="宋体" w:hAnsi="宋体" w:eastAsia="宋体" w:cs="宋体"/>
          <w:color w:val="auto"/>
          <w:kern w:val="0"/>
          <w:sz w:val="24"/>
          <w:szCs w:val="24"/>
        </w:rPr>
        <w:t>3</w:t>
      </w:r>
      <w:r>
        <w:rPr>
          <w:rFonts w:hint="eastAsia" w:ascii="宋体" w:hAnsi="宋体" w:eastAsia="宋体" w:cs="宋体"/>
          <w:color w:val="auto"/>
          <w:kern w:val="0"/>
          <w:sz w:val="24"/>
          <w:szCs w:val="24"/>
        </w:rPr>
        <w:t>年，期间由学院人事部门根据其职责要求，每年进行一次基本考核，凡能认真履行岗位职责，经过相应考核，可获得继续保留名师资格。满</w:t>
      </w:r>
      <w:r>
        <w:rPr>
          <w:rFonts w:ascii="宋体" w:hAnsi="宋体" w:eastAsia="宋体" w:cs="宋体"/>
          <w:color w:val="auto"/>
          <w:kern w:val="0"/>
          <w:sz w:val="24"/>
          <w:szCs w:val="24"/>
        </w:rPr>
        <w:t>3</w:t>
      </w:r>
      <w:r>
        <w:rPr>
          <w:rFonts w:hint="eastAsia" w:ascii="宋体" w:hAnsi="宋体" w:eastAsia="宋体" w:cs="宋体"/>
          <w:color w:val="auto"/>
          <w:kern w:val="0"/>
          <w:sz w:val="24"/>
          <w:szCs w:val="24"/>
        </w:rPr>
        <w:t>年进行全面考核，考核根据情况分为优秀、合格、不合格三个等级，期满考核合格的，可取得继续担任名师资格。不合格者则取消名名师资格，并停止享受有关待遇。</w:t>
      </w:r>
    </w:p>
    <w:p>
      <w:pPr>
        <w:widowControl/>
        <w:jc w:val="left"/>
        <w:rPr>
          <w:rFonts w:ascii="宋体" w:hAnsi="Calibri" w:eastAsia="宋体" w:cs="宋体"/>
          <w:color w:val="auto"/>
          <w:kern w:val="0"/>
          <w:sz w:val="24"/>
          <w:szCs w:val="24"/>
        </w:rPr>
      </w:pPr>
      <w:r>
        <w:rPr>
          <w:rFonts w:ascii="宋体" w:hAnsi="Calibri" w:eastAsia="宋体" w:cs="宋体"/>
          <w:color w:val="auto"/>
          <w:kern w:val="0"/>
          <w:sz w:val="24"/>
          <w:szCs w:val="24"/>
        </w:rPr>
        <w:br w:type="page"/>
      </w:r>
    </w:p>
    <w:p>
      <w:pPr>
        <w:spacing w:line="360" w:lineRule="auto"/>
        <w:rPr>
          <w:rFonts w:ascii="宋体" w:hAnsi="Calibri" w:eastAsia="宋体" w:cs="Times New Roman"/>
          <w:color w:val="auto"/>
          <w:sz w:val="28"/>
          <w:szCs w:val="24"/>
        </w:rPr>
      </w:pPr>
      <w:r>
        <w:rPr>
          <w:rFonts w:hint="eastAsia" w:ascii="宋体" w:hAnsi="宋体" w:eastAsia="宋体" w:cs="Times New Roman"/>
          <w:color w:val="auto"/>
          <w:sz w:val="28"/>
          <w:szCs w:val="24"/>
        </w:rPr>
        <w:t>附件</w:t>
      </w:r>
      <w:r>
        <w:rPr>
          <w:rFonts w:ascii="宋体" w:hAnsi="宋体" w:eastAsia="宋体" w:cs="Times New Roman"/>
          <w:color w:val="auto"/>
          <w:sz w:val="28"/>
          <w:szCs w:val="24"/>
        </w:rPr>
        <w:t>1</w:t>
      </w:r>
    </w:p>
    <w:p>
      <w:pPr>
        <w:spacing w:line="360" w:lineRule="auto"/>
        <w:jc w:val="center"/>
        <w:rPr>
          <w:rFonts w:ascii="宋体" w:hAnsi="Calibri" w:eastAsia="宋体" w:cs="Times New Roman"/>
          <w:color w:val="auto"/>
          <w:sz w:val="28"/>
          <w:szCs w:val="24"/>
        </w:rPr>
      </w:pPr>
      <w:r>
        <w:rPr>
          <w:rFonts w:hint="eastAsia" w:ascii="宋体" w:hAnsi="宋体" w:eastAsia="宋体" w:cs="宋体"/>
          <w:b/>
          <w:bCs/>
          <w:color w:val="auto"/>
          <w:kern w:val="0"/>
          <w:sz w:val="28"/>
          <w:szCs w:val="24"/>
        </w:rPr>
        <w:t>广东江门</w:t>
      </w:r>
      <w:r>
        <w:rPr>
          <w:rFonts w:hint="eastAsia" w:ascii="宋体" w:hAnsi="宋体" w:eastAsia="宋体" w:cs="宋体"/>
          <w:b/>
          <w:color w:val="auto"/>
          <w:kern w:val="0"/>
          <w:sz w:val="28"/>
          <w:szCs w:val="24"/>
        </w:rPr>
        <w:t>中医药职业学院名师</w:t>
      </w:r>
      <w:r>
        <w:rPr>
          <w:rFonts w:hint="eastAsia" w:ascii="宋体" w:hAnsi="宋体" w:eastAsia="宋体" w:cs="宋体"/>
          <w:b/>
          <w:bCs/>
          <w:color w:val="auto"/>
          <w:kern w:val="0"/>
          <w:sz w:val="28"/>
          <w:szCs w:val="24"/>
        </w:rPr>
        <w:t>评选</w:t>
      </w:r>
      <w:r>
        <w:rPr>
          <w:rFonts w:hint="eastAsia" w:ascii="宋体" w:hAnsi="宋体" w:eastAsia="宋体" w:cs="宋体"/>
          <w:b/>
          <w:color w:val="auto"/>
          <w:kern w:val="0"/>
          <w:sz w:val="28"/>
          <w:szCs w:val="24"/>
        </w:rPr>
        <w:t>量化评分标准</w:t>
      </w:r>
    </w:p>
    <w:tbl>
      <w:tblPr>
        <w:tblStyle w:val="16"/>
        <w:tblW w:w="9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3363"/>
        <w:gridCol w:w="875"/>
        <w:gridCol w:w="3498"/>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1051" w:type="dxa"/>
            <w:noWrap w:val="0"/>
            <w:vAlign w:val="center"/>
          </w:tcPr>
          <w:p>
            <w:pPr>
              <w:widowControl/>
              <w:ind w:right="-101" w:rightChars="-48"/>
              <w:jc w:val="center"/>
              <w:rPr>
                <w:rFonts w:ascii="宋体" w:hAnsi="Calibri" w:eastAsia="宋体" w:cs="宋体"/>
                <w:bCs/>
                <w:color w:val="auto"/>
                <w:kern w:val="0"/>
                <w:szCs w:val="21"/>
              </w:rPr>
            </w:pPr>
            <w:r>
              <w:rPr>
                <w:rFonts w:hint="eastAsia" w:ascii="宋体" w:hAnsi="宋体" w:eastAsia="宋体" w:cs="宋体"/>
                <w:bCs/>
                <w:color w:val="auto"/>
                <w:kern w:val="0"/>
                <w:szCs w:val="21"/>
              </w:rPr>
              <w:t>类别</w:t>
            </w:r>
          </w:p>
        </w:tc>
        <w:tc>
          <w:tcPr>
            <w:tcW w:w="3363" w:type="dxa"/>
            <w:noWrap w:val="0"/>
            <w:vAlign w:val="center"/>
          </w:tcPr>
          <w:p>
            <w:pPr>
              <w:widowControl/>
              <w:jc w:val="center"/>
              <w:rPr>
                <w:rFonts w:ascii="宋体" w:hAnsi="Calibri" w:eastAsia="宋体" w:cs="宋体"/>
                <w:bCs/>
                <w:color w:val="auto"/>
                <w:kern w:val="0"/>
                <w:szCs w:val="21"/>
              </w:rPr>
            </w:pPr>
            <w:r>
              <w:rPr>
                <w:rFonts w:hint="eastAsia" w:ascii="宋体" w:hAnsi="宋体" w:eastAsia="宋体" w:cs="宋体"/>
                <w:bCs/>
                <w:color w:val="auto"/>
                <w:kern w:val="0"/>
                <w:szCs w:val="21"/>
              </w:rPr>
              <w:t>评分标准</w:t>
            </w:r>
          </w:p>
        </w:tc>
        <w:tc>
          <w:tcPr>
            <w:tcW w:w="875" w:type="dxa"/>
            <w:noWrap w:val="0"/>
            <w:vAlign w:val="center"/>
          </w:tcPr>
          <w:p>
            <w:pPr>
              <w:widowControl/>
              <w:jc w:val="center"/>
              <w:rPr>
                <w:rFonts w:ascii="宋体" w:hAnsi="Calibri" w:eastAsia="宋体" w:cs="宋体"/>
                <w:bCs/>
                <w:color w:val="auto"/>
                <w:kern w:val="0"/>
                <w:szCs w:val="21"/>
              </w:rPr>
            </w:pPr>
            <w:r>
              <w:rPr>
                <w:rFonts w:hint="eastAsia" w:ascii="宋体" w:hAnsi="宋体" w:eastAsia="宋体" w:cs="宋体"/>
                <w:bCs/>
                <w:color w:val="auto"/>
                <w:kern w:val="0"/>
                <w:szCs w:val="21"/>
              </w:rPr>
              <w:t>分值</w:t>
            </w:r>
          </w:p>
        </w:tc>
        <w:tc>
          <w:tcPr>
            <w:tcW w:w="3498" w:type="dxa"/>
            <w:noWrap w:val="0"/>
            <w:vAlign w:val="center"/>
          </w:tcPr>
          <w:p>
            <w:pPr>
              <w:widowControl/>
              <w:jc w:val="center"/>
              <w:rPr>
                <w:rFonts w:ascii="宋体" w:hAnsi="Calibri" w:eastAsia="宋体" w:cs="宋体"/>
                <w:bCs/>
                <w:color w:val="auto"/>
                <w:kern w:val="0"/>
                <w:szCs w:val="21"/>
              </w:rPr>
            </w:pPr>
            <w:r>
              <w:rPr>
                <w:rFonts w:hint="eastAsia" w:ascii="宋体" w:hAnsi="宋体" w:eastAsia="宋体" w:cs="宋体"/>
                <w:bCs/>
                <w:color w:val="auto"/>
                <w:kern w:val="0"/>
                <w:szCs w:val="21"/>
              </w:rPr>
              <w:t>评分方法</w:t>
            </w:r>
          </w:p>
        </w:tc>
        <w:tc>
          <w:tcPr>
            <w:tcW w:w="1093" w:type="dxa"/>
            <w:noWrap w:val="0"/>
            <w:vAlign w:val="center"/>
          </w:tcPr>
          <w:p>
            <w:pPr>
              <w:widowControl/>
              <w:jc w:val="center"/>
              <w:rPr>
                <w:rFonts w:ascii="宋体" w:hAnsi="Calibri" w:eastAsia="宋体" w:cs="宋体"/>
                <w:bCs/>
                <w:color w:val="auto"/>
                <w:kern w:val="0"/>
                <w:sz w:val="24"/>
                <w:szCs w:val="24"/>
              </w:rPr>
            </w:pPr>
            <w:r>
              <w:rPr>
                <w:rFonts w:hint="eastAsia" w:ascii="宋体" w:hAnsi="宋体" w:eastAsia="宋体" w:cs="宋体"/>
                <w:bCs/>
                <w:color w:val="auto"/>
                <w:kern w:val="0"/>
                <w:sz w:val="24"/>
                <w:szCs w:val="24"/>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45" w:hRule="atLeast"/>
          <w:jc w:val="center"/>
        </w:trPr>
        <w:tc>
          <w:tcPr>
            <w:tcW w:w="1051" w:type="dxa"/>
            <w:vMerge w:val="restart"/>
            <w:noWrap w:val="0"/>
            <w:vAlign w:val="center"/>
          </w:tcPr>
          <w:p>
            <w:pPr>
              <w:jc w:val="center"/>
              <w:rPr>
                <w:rFonts w:ascii="宋体" w:hAnsi="Calibri" w:eastAsia="宋体" w:cs="宋体"/>
                <w:color w:val="auto"/>
                <w:kern w:val="0"/>
                <w:szCs w:val="21"/>
              </w:rPr>
            </w:pPr>
            <w:r>
              <w:rPr>
                <w:rFonts w:hint="eastAsia" w:ascii="宋体" w:hAnsi="宋体" w:eastAsia="宋体" w:cs="宋体"/>
                <w:color w:val="auto"/>
                <w:kern w:val="0"/>
                <w:szCs w:val="21"/>
              </w:rPr>
              <w:t>一、基本情况（</w:t>
            </w:r>
            <w:r>
              <w:rPr>
                <w:rFonts w:ascii="宋体" w:hAnsi="宋体" w:eastAsia="宋体" w:cs="宋体"/>
                <w:color w:val="auto"/>
                <w:kern w:val="0"/>
                <w:szCs w:val="21"/>
              </w:rPr>
              <w:t>7</w:t>
            </w:r>
            <w:r>
              <w:rPr>
                <w:rFonts w:hint="eastAsia" w:ascii="宋体" w:hAnsi="宋体" w:eastAsia="宋体" w:cs="宋体"/>
                <w:color w:val="auto"/>
                <w:kern w:val="0"/>
                <w:szCs w:val="21"/>
              </w:rPr>
              <w:t>分）</w:t>
            </w:r>
          </w:p>
        </w:tc>
        <w:tc>
          <w:tcPr>
            <w:tcW w:w="3363"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szCs w:val="21"/>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为师生群众公认。</w:t>
            </w:r>
          </w:p>
        </w:tc>
        <w:tc>
          <w:tcPr>
            <w:tcW w:w="875" w:type="dxa"/>
            <w:noWrap w:val="0"/>
            <w:vAlign w:val="center"/>
          </w:tcPr>
          <w:p>
            <w:pPr>
              <w:widowControl/>
              <w:jc w:val="center"/>
              <w:rPr>
                <w:rFonts w:ascii="宋体" w:hAnsi="Calibri" w:eastAsia="宋体" w:cs="宋体"/>
                <w:color w:val="auto"/>
                <w:kern w:val="0"/>
                <w:szCs w:val="21"/>
              </w:rPr>
            </w:pPr>
            <w:r>
              <w:rPr>
                <w:rFonts w:ascii="宋体" w:hAnsi="宋体" w:eastAsia="宋体" w:cs="宋体"/>
                <w:color w:val="auto"/>
                <w:kern w:val="0"/>
                <w:szCs w:val="21"/>
              </w:rPr>
              <w:t>4</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符合条件得满分；有违法违纪、行业作风等重大事件经查属实或3年内发生教学事故不得参评。</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2" w:hRule="atLeast"/>
          <w:jc w:val="center"/>
        </w:trPr>
        <w:tc>
          <w:tcPr>
            <w:tcW w:w="1051" w:type="dxa"/>
            <w:vMerge w:val="continue"/>
            <w:noWrap w:val="0"/>
            <w:vAlign w:val="center"/>
          </w:tcPr>
          <w:p>
            <w:pPr>
              <w:ind w:firstLine="420" w:firstLineChars="200"/>
              <w:jc w:val="center"/>
              <w:rPr>
                <w:rFonts w:ascii="宋体" w:hAnsi="Calibri" w:eastAsia="宋体" w:cs="宋体"/>
                <w:color w:val="auto"/>
                <w:kern w:val="0"/>
                <w:szCs w:val="21"/>
              </w:rPr>
            </w:pPr>
          </w:p>
        </w:tc>
        <w:tc>
          <w:tcPr>
            <w:tcW w:w="3363" w:type="dxa"/>
            <w:noWrap w:val="0"/>
            <w:vAlign w:val="center"/>
          </w:tcPr>
          <w:p>
            <w:pPr>
              <w:widowControl/>
              <w:ind w:right="-84" w:rightChars="-40" w:firstLine="420" w:firstLineChars="200"/>
              <w:jc w:val="left"/>
              <w:rPr>
                <w:rFonts w:ascii="宋体" w:hAnsi="Calibri" w:eastAsia="宋体" w:cs="宋体"/>
                <w:color w:val="auto"/>
                <w:kern w:val="0"/>
                <w:szCs w:val="21"/>
              </w:rPr>
            </w:pPr>
            <w:r>
              <w:rPr>
                <w:rFonts w:hint="eastAsia" w:ascii="宋体" w:hAnsi="宋体" w:eastAsia="宋体" w:cs="宋体"/>
                <w:color w:val="auto"/>
                <w:kern w:val="0"/>
                <w:szCs w:val="21"/>
              </w:rPr>
              <w:t>从事教育工作获高级职称或具有博士学位。</w:t>
            </w:r>
          </w:p>
        </w:tc>
        <w:tc>
          <w:tcPr>
            <w:tcW w:w="875" w:type="dxa"/>
            <w:noWrap w:val="0"/>
            <w:vAlign w:val="center"/>
          </w:tcPr>
          <w:p>
            <w:pPr>
              <w:widowControl/>
              <w:ind w:left="-3" w:leftChars="-6" w:hanging="10" w:hangingChars="5"/>
              <w:jc w:val="center"/>
              <w:rPr>
                <w:rFonts w:ascii="宋体" w:hAnsi="Calibri" w:eastAsia="宋体" w:cs="宋体"/>
                <w:color w:val="auto"/>
                <w:kern w:val="0"/>
                <w:szCs w:val="21"/>
              </w:rPr>
            </w:pPr>
            <w:r>
              <w:rPr>
                <w:rFonts w:ascii="宋体" w:hAnsi="宋体" w:eastAsia="宋体" w:cs="宋体"/>
                <w:color w:val="auto"/>
                <w:kern w:val="0"/>
                <w:szCs w:val="21"/>
              </w:rPr>
              <w:t>1</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高级职称或具有博士学位获满分。不符合本条件不得参评。</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1051" w:type="dxa"/>
            <w:vMerge w:val="continue"/>
            <w:noWrap w:val="0"/>
            <w:vAlign w:val="center"/>
          </w:tcPr>
          <w:p>
            <w:pPr>
              <w:ind w:firstLine="420" w:firstLineChars="200"/>
              <w:jc w:val="center"/>
              <w:rPr>
                <w:rFonts w:ascii="宋体" w:hAnsi="Calibri" w:eastAsia="宋体" w:cs="宋体"/>
                <w:color w:val="auto"/>
                <w:kern w:val="0"/>
                <w:szCs w:val="21"/>
              </w:rPr>
            </w:pPr>
          </w:p>
        </w:tc>
        <w:tc>
          <w:tcPr>
            <w:tcW w:w="3363"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从事职业教育或临床、生产、科研工作</w:t>
            </w:r>
            <w:r>
              <w:rPr>
                <w:rFonts w:ascii="宋体" w:hAnsi="宋体" w:eastAsia="宋体" w:cs="宋体"/>
                <w:color w:val="auto"/>
                <w:kern w:val="0"/>
                <w:szCs w:val="21"/>
              </w:rPr>
              <w:t>10</w:t>
            </w:r>
            <w:r>
              <w:rPr>
                <w:rFonts w:hint="eastAsia" w:ascii="宋体" w:hAnsi="宋体" w:eastAsia="宋体" w:cs="宋体"/>
                <w:color w:val="auto"/>
                <w:kern w:val="0"/>
                <w:szCs w:val="21"/>
              </w:rPr>
              <w:t>年以上（含</w:t>
            </w:r>
            <w:r>
              <w:rPr>
                <w:rFonts w:ascii="宋体" w:hAnsi="宋体" w:eastAsia="宋体" w:cs="宋体"/>
                <w:color w:val="auto"/>
                <w:kern w:val="0"/>
                <w:szCs w:val="21"/>
              </w:rPr>
              <w:t>10</w:t>
            </w:r>
            <w:r>
              <w:rPr>
                <w:rFonts w:hint="eastAsia" w:ascii="宋体" w:hAnsi="宋体" w:eastAsia="宋体" w:cs="宋体"/>
                <w:color w:val="auto"/>
                <w:kern w:val="0"/>
                <w:szCs w:val="21"/>
              </w:rPr>
              <w:t>年）的在职人员。</w:t>
            </w:r>
          </w:p>
        </w:tc>
        <w:tc>
          <w:tcPr>
            <w:tcW w:w="875" w:type="dxa"/>
            <w:noWrap w:val="0"/>
            <w:vAlign w:val="center"/>
          </w:tcPr>
          <w:p>
            <w:pPr>
              <w:widowControl/>
              <w:ind w:left="-3" w:leftChars="-6" w:hanging="10" w:hangingChars="5"/>
              <w:jc w:val="center"/>
              <w:rPr>
                <w:rFonts w:ascii="宋体" w:hAnsi="Calibri" w:eastAsia="宋体" w:cs="宋体"/>
                <w:color w:val="auto"/>
                <w:kern w:val="0"/>
                <w:szCs w:val="21"/>
              </w:rPr>
            </w:pPr>
            <w:r>
              <w:rPr>
                <w:rFonts w:ascii="宋体" w:hAnsi="宋体" w:eastAsia="宋体" w:cs="宋体"/>
                <w:color w:val="auto"/>
                <w:kern w:val="0"/>
                <w:szCs w:val="21"/>
              </w:rPr>
              <w:t>2</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从事职业教育或中医药临床科研工作满</w:t>
            </w:r>
            <w:r>
              <w:rPr>
                <w:rFonts w:ascii="宋体" w:hAnsi="宋体" w:eastAsia="宋体" w:cs="宋体"/>
                <w:color w:val="auto"/>
                <w:kern w:val="0"/>
                <w:szCs w:val="21"/>
              </w:rPr>
              <w:t>10</w:t>
            </w:r>
            <w:r>
              <w:rPr>
                <w:rFonts w:hint="eastAsia" w:ascii="宋体" w:hAnsi="宋体" w:eastAsia="宋体" w:cs="宋体"/>
                <w:color w:val="auto"/>
                <w:kern w:val="0"/>
                <w:szCs w:val="21"/>
              </w:rPr>
              <w:t>年以上（含</w:t>
            </w:r>
            <w:r>
              <w:rPr>
                <w:rFonts w:ascii="宋体" w:hAnsi="宋体" w:eastAsia="宋体" w:cs="宋体"/>
                <w:color w:val="auto"/>
                <w:kern w:val="0"/>
                <w:szCs w:val="21"/>
              </w:rPr>
              <w:t>10</w:t>
            </w:r>
            <w:r>
              <w:rPr>
                <w:rFonts w:hint="eastAsia" w:ascii="宋体" w:hAnsi="宋体" w:eastAsia="宋体" w:cs="宋体"/>
                <w:color w:val="auto"/>
                <w:kern w:val="0"/>
                <w:szCs w:val="21"/>
              </w:rPr>
              <w:t>年）得</w:t>
            </w:r>
            <w:r>
              <w:rPr>
                <w:rFonts w:ascii="宋体" w:hAnsi="宋体" w:eastAsia="宋体" w:cs="宋体"/>
                <w:color w:val="auto"/>
                <w:kern w:val="0"/>
                <w:szCs w:val="21"/>
              </w:rPr>
              <w:t>2</w:t>
            </w:r>
            <w:r>
              <w:rPr>
                <w:rFonts w:hint="eastAsia" w:ascii="宋体" w:hAnsi="宋体" w:eastAsia="宋体" w:cs="宋体"/>
                <w:color w:val="auto"/>
                <w:kern w:val="0"/>
                <w:szCs w:val="21"/>
              </w:rPr>
              <w:t>分，达不到条件要求不得分。</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30" w:hRule="atLeast"/>
          <w:jc w:val="center"/>
        </w:trPr>
        <w:tc>
          <w:tcPr>
            <w:tcW w:w="1051" w:type="dxa"/>
            <w:vMerge w:val="restart"/>
            <w:noWrap w:val="0"/>
            <w:vAlign w:val="center"/>
          </w:tcPr>
          <w:p>
            <w:pPr>
              <w:jc w:val="center"/>
              <w:rPr>
                <w:rFonts w:ascii="宋体" w:hAnsi="Calibri" w:eastAsia="宋体" w:cs="宋体"/>
                <w:color w:val="auto"/>
                <w:kern w:val="0"/>
                <w:szCs w:val="21"/>
              </w:rPr>
            </w:pPr>
            <w:r>
              <w:rPr>
                <w:rFonts w:hint="eastAsia" w:ascii="宋体" w:hAnsi="宋体" w:eastAsia="宋体" w:cs="宋体"/>
                <w:color w:val="auto"/>
                <w:kern w:val="0"/>
                <w:szCs w:val="21"/>
              </w:rPr>
              <w:t>二、教学情况（</w:t>
            </w:r>
            <w:r>
              <w:rPr>
                <w:rFonts w:ascii="宋体" w:hAnsi="宋体" w:eastAsia="宋体" w:cs="宋体"/>
                <w:color w:val="auto"/>
                <w:kern w:val="0"/>
                <w:szCs w:val="21"/>
              </w:rPr>
              <w:t>23</w:t>
            </w:r>
            <w:r>
              <w:rPr>
                <w:rFonts w:hint="eastAsia" w:ascii="宋体" w:hAnsi="宋体" w:eastAsia="宋体" w:cs="宋体"/>
                <w:color w:val="auto"/>
                <w:kern w:val="0"/>
                <w:szCs w:val="21"/>
              </w:rPr>
              <w:t>分）</w:t>
            </w:r>
          </w:p>
        </w:tc>
        <w:tc>
          <w:tcPr>
            <w:tcW w:w="3363" w:type="dxa"/>
            <w:noWrap w:val="0"/>
            <w:vAlign w:val="center"/>
          </w:tcPr>
          <w:p>
            <w:pPr>
              <w:widowControl/>
              <w:ind w:firstLine="420" w:firstLineChars="200"/>
              <w:jc w:val="left"/>
              <w:rPr>
                <w:rFonts w:ascii="宋体" w:hAnsi="Calibri" w:eastAsia="宋体" w:cs="宋体"/>
                <w:color w:val="auto"/>
                <w:kern w:val="0"/>
                <w:szCs w:val="21"/>
              </w:rPr>
            </w:pPr>
            <w:r>
              <w:rPr>
                <w:rFonts w:hint="eastAsia" w:ascii="宋体" w:hAnsi="宋体" w:eastAsia="宋体" w:cs="宋体"/>
                <w:color w:val="auto"/>
                <w:szCs w:val="21"/>
              </w:rPr>
              <w:t>教学效果好，学生评价高。注重分析学生群体及个体特点，因材施教促进学生个性化发展；以身作则，潜移默化培养学生的职业道德和职业精神；关心学生成长，引导学生着眼未来，学以致用；课堂教学灵活多样，能自由驾驭课堂教学，学生学习积极性高；有效利用信息技术和现代教育技术，改变学习形态，教学效率高。</w:t>
            </w:r>
          </w:p>
        </w:tc>
        <w:tc>
          <w:tcPr>
            <w:tcW w:w="875" w:type="dxa"/>
            <w:noWrap w:val="0"/>
            <w:vAlign w:val="center"/>
          </w:tcPr>
          <w:p>
            <w:pPr>
              <w:widowControl/>
              <w:ind w:left="-38" w:leftChars="-18" w:firstLine="21" w:firstLineChars="10"/>
              <w:jc w:val="center"/>
              <w:rPr>
                <w:rFonts w:ascii="宋体" w:hAnsi="Calibri" w:eastAsia="宋体" w:cs="宋体"/>
                <w:color w:val="auto"/>
                <w:kern w:val="0"/>
                <w:szCs w:val="21"/>
              </w:rPr>
            </w:pPr>
            <w:r>
              <w:rPr>
                <w:rFonts w:ascii="宋体" w:hAnsi="宋体" w:eastAsia="宋体" w:cs="宋体"/>
                <w:color w:val="auto"/>
                <w:kern w:val="0"/>
                <w:szCs w:val="21"/>
              </w:rPr>
              <w:t>10</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lang w:val="zh-CN"/>
              </w:rPr>
              <w:t>教学态度认真，教学效果一贯优秀并得到同行和学生的认可。学生对教师课堂教学评价在本门课程教师中名列前茅</w:t>
            </w:r>
            <w:r>
              <w:rPr>
                <w:rFonts w:ascii="宋体" w:hAnsi="宋体" w:eastAsia="宋体" w:cs="宋体"/>
                <w:color w:val="auto"/>
                <w:kern w:val="0"/>
                <w:szCs w:val="21"/>
                <w:lang w:val="zh-CN"/>
              </w:rPr>
              <w:t>10</w:t>
            </w:r>
            <w:r>
              <w:rPr>
                <w:rFonts w:hint="eastAsia" w:ascii="宋体" w:hAnsi="宋体" w:eastAsia="宋体" w:cs="宋体"/>
                <w:color w:val="auto"/>
                <w:kern w:val="0"/>
                <w:szCs w:val="21"/>
                <w:lang w:val="zh-CN"/>
              </w:rPr>
              <w:t>分。</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89" w:hRule="atLeast"/>
          <w:jc w:val="center"/>
        </w:trPr>
        <w:tc>
          <w:tcPr>
            <w:tcW w:w="1051" w:type="dxa"/>
            <w:vMerge w:val="continue"/>
            <w:noWrap w:val="0"/>
            <w:vAlign w:val="center"/>
          </w:tcPr>
          <w:p>
            <w:pPr>
              <w:widowControl/>
              <w:ind w:firstLine="420" w:firstLineChars="200"/>
              <w:jc w:val="center"/>
              <w:rPr>
                <w:rFonts w:ascii="宋体" w:hAnsi="Calibri" w:eastAsia="宋体" w:cs="宋体"/>
                <w:color w:val="auto"/>
                <w:kern w:val="0"/>
                <w:szCs w:val="21"/>
              </w:rPr>
            </w:pPr>
          </w:p>
        </w:tc>
        <w:tc>
          <w:tcPr>
            <w:tcW w:w="3363" w:type="dxa"/>
            <w:noWrap w:val="0"/>
            <w:vAlign w:val="center"/>
          </w:tcPr>
          <w:p>
            <w:pPr>
              <w:autoSpaceDE w:val="0"/>
              <w:autoSpaceDN w:val="0"/>
              <w:adjustRightInd w:val="0"/>
              <w:ind w:firstLine="420" w:firstLineChars="200"/>
              <w:rPr>
                <w:rFonts w:ascii="宋体" w:hAnsi="Calibri" w:eastAsia="宋体" w:cs="宋体"/>
                <w:color w:val="auto"/>
                <w:kern w:val="0"/>
                <w:szCs w:val="21"/>
                <w:lang w:val="zh-CN"/>
              </w:rPr>
            </w:pPr>
            <w:r>
              <w:rPr>
                <w:rFonts w:hint="eastAsia" w:ascii="宋体" w:hAnsi="宋体" w:eastAsia="宋体" w:cs="宋体"/>
                <w:color w:val="auto"/>
                <w:kern w:val="0"/>
                <w:szCs w:val="21"/>
                <w:lang w:val="zh-CN"/>
              </w:rPr>
              <w:t>高质量地完成本门课程的主讲教学任务，其中完成主讲任务每年不少于</w:t>
            </w:r>
            <w:r>
              <w:rPr>
                <w:rFonts w:ascii="宋体" w:hAnsi="宋体" w:eastAsia="宋体" w:cs="宋体"/>
                <w:color w:val="auto"/>
                <w:kern w:val="0"/>
                <w:szCs w:val="21"/>
                <w:lang w:val="zh-CN"/>
              </w:rPr>
              <w:t>200</w:t>
            </w:r>
            <w:r>
              <w:rPr>
                <w:rFonts w:hint="eastAsia" w:ascii="宋体" w:hAnsi="宋体" w:eastAsia="宋体" w:cs="宋体"/>
                <w:color w:val="auto"/>
                <w:kern w:val="0"/>
                <w:szCs w:val="21"/>
                <w:lang w:val="zh-CN"/>
              </w:rPr>
              <w:t>学时（行政兼职人员完成学校规定的教学学时）。在本门课程教学工作中起典范作用，并将其教学经验推而广之，指导青年教师</w:t>
            </w:r>
            <w:r>
              <w:rPr>
                <w:rFonts w:ascii="宋体" w:hAnsi="宋体" w:eastAsia="宋体" w:cs="宋体"/>
                <w:color w:val="auto"/>
                <w:kern w:val="0"/>
                <w:szCs w:val="21"/>
                <w:lang w:val="zh-CN"/>
              </w:rPr>
              <w:t>1</w:t>
            </w:r>
            <w:r>
              <w:rPr>
                <w:rFonts w:hint="eastAsia" w:ascii="宋体" w:hAnsi="宋体" w:eastAsia="宋体" w:cs="宋体"/>
                <w:color w:val="auto"/>
                <w:kern w:val="0"/>
                <w:szCs w:val="21"/>
                <w:lang w:val="zh-CN"/>
              </w:rPr>
              <w:t>－</w:t>
            </w:r>
            <w:r>
              <w:rPr>
                <w:rFonts w:ascii="宋体" w:hAnsi="宋体" w:eastAsia="宋体" w:cs="宋体"/>
                <w:color w:val="auto"/>
                <w:kern w:val="0"/>
                <w:szCs w:val="21"/>
                <w:lang w:val="zh-CN"/>
              </w:rPr>
              <w:t>2</w:t>
            </w:r>
            <w:r>
              <w:rPr>
                <w:rFonts w:hint="eastAsia" w:ascii="宋体" w:hAnsi="宋体" w:eastAsia="宋体" w:cs="宋体"/>
                <w:color w:val="auto"/>
                <w:kern w:val="0"/>
                <w:szCs w:val="21"/>
                <w:lang w:val="zh-CN"/>
              </w:rPr>
              <w:t>人。</w:t>
            </w:r>
          </w:p>
          <w:p>
            <w:pPr>
              <w:widowControl/>
              <w:ind w:firstLine="420" w:firstLineChars="200"/>
              <w:rPr>
                <w:rFonts w:ascii="宋体" w:hAnsi="Calibri" w:eastAsia="宋体" w:cs="宋体"/>
                <w:color w:val="auto"/>
                <w:kern w:val="0"/>
                <w:szCs w:val="21"/>
              </w:rPr>
            </w:pPr>
          </w:p>
        </w:tc>
        <w:tc>
          <w:tcPr>
            <w:tcW w:w="875" w:type="dxa"/>
            <w:noWrap w:val="0"/>
            <w:vAlign w:val="center"/>
          </w:tcPr>
          <w:p>
            <w:pPr>
              <w:widowControl/>
              <w:ind w:left="-3" w:leftChars="-6" w:right="-82" w:rightChars="-39" w:hanging="10" w:hangingChars="5"/>
              <w:jc w:val="center"/>
              <w:rPr>
                <w:rFonts w:ascii="宋体" w:hAnsi="Calibri" w:eastAsia="宋体" w:cs="宋体"/>
                <w:color w:val="auto"/>
                <w:kern w:val="0"/>
                <w:szCs w:val="21"/>
              </w:rPr>
            </w:pPr>
            <w:r>
              <w:rPr>
                <w:rFonts w:ascii="宋体" w:hAnsi="宋体" w:eastAsia="宋体" w:cs="宋体"/>
                <w:color w:val="auto"/>
                <w:kern w:val="0"/>
                <w:szCs w:val="21"/>
              </w:rPr>
              <w:t>13</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lang w:val="zh-CN"/>
              </w:rPr>
            </w:pPr>
            <w:r>
              <w:rPr>
                <w:rFonts w:hint="eastAsia" w:ascii="宋体" w:hAnsi="宋体" w:eastAsia="宋体" w:cs="宋体"/>
                <w:color w:val="auto"/>
                <w:kern w:val="0"/>
                <w:szCs w:val="21"/>
                <w:lang w:val="zh-CN"/>
              </w:rPr>
              <w:t>高质量地完成主讲任务每年不少于</w:t>
            </w:r>
            <w:r>
              <w:rPr>
                <w:rFonts w:ascii="宋体" w:hAnsi="宋体" w:eastAsia="宋体" w:cs="宋体"/>
                <w:color w:val="auto"/>
                <w:kern w:val="0"/>
                <w:szCs w:val="21"/>
                <w:lang w:val="zh-CN"/>
              </w:rPr>
              <w:t>200</w:t>
            </w:r>
            <w:r>
              <w:rPr>
                <w:rFonts w:hint="eastAsia" w:ascii="宋体" w:hAnsi="宋体" w:eastAsia="宋体" w:cs="宋体"/>
                <w:color w:val="auto"/>
                <w:kern w:val="0"/>
                <w:szCs w:val="21"/>
                <w:lang w:val="zh-CN"/>
              </w:rPr>
              <w:t>学时（行政兼职人员不少于</w:t>
            </w:r>
            <w:r>
              <w:rPr>
                <w:rFonts w:ascii="宋体" w:hAnsi="宋体" w:eastAsia="宋体" w:cs="宋体"/>
                <w:color w:val="auto"/>
                <w:kern w:val="0"/>
                <w:szCs w:val="21"/>
                <w:lang w:val="zh-CN"/>
              </w:rPr>
              <w:t>100</w:t>
            </w:r>
            <w:r>
              <w:rPr>
                <w:rFonts w:hint="eastAsia" w:ascii="宋体" w:hAnsi="宋体" w:eastAsia="宋体" w:cs="宋体"/>
                <w:color w:val="auto"/>
                <w:kern w:val="0"/>
                <w:szCs w:val="21"/>
                <w:lang w:val="zh-CN"/>
              </w:rPr>
              <w:t>课时）得</w:t>
            </w:r>
            <w:r>
              <w:rPr>
                <w:rFonts w:ascii="宋体" w:hAnsi="宋体" w:eastAsia="宋体" w:cs="宋体"/>
                <w:color w:val="auto"/>
                <w:kern w:val="0"/>
                <w:szCs w:val="21"/>
                <w:lang w:val="zh-CN"/>
              </w:rPr>
              <w:t>3</w:t>
            </w:r>
            <w:r>
              <w:rPr>
                <w:rFonts w:hint="eastAsia" w:ascii="宋体" w:hAnsi="宋体" w:eastAsia="宋体" w:cs="宋体"/>
                <w:color w:val="auto"/>
                <w:kern w:val="0"/>
                <w:szCs w:val="21"/>
                <w:lang w:val="zh-CN"/>
              </w:rPr>
              <w:t>分，主讲两门以上每门加</w:t>
            </w:r>
            <w:r>
              <w:rPr>
                <w:rFonts w:ascii="宋体" w:hAnsi="宋体" w:eastAsia="宋体" w:cs="宋体"/>
                <w:color w:val="auto"/>
                <w:kern w:val="0"/>
                <w:szCs w:val="21"/>
                <w:lang w:val="zh-CN"/>
              </w:rPr>
              <w:t>1</w:t>
            </w:r>
            <w:r>
              <w:rPr>
                <w:rFonts w:hint="eastAsia" w:ascii="宋体" w:hAnsi="宋体" w:eastAsia="宋体" w:cs="宋体"/>
                <w:color w:val="auto"/>
                <w:kern w:val="0"/>
                <w:szCs w:val="21"/>
                <w:lang w:val="zh-CN"/>
              </w:rPr>
              <w:t>分</w:t>
            </w:r>
            <w:r>
              <w:rPr>
                <w:rFonts w:hint="eastAsia" w:ascii="宋体" w:hAnsi="宋体" w:eastAsia="宋体" w:cs="宋体"/>
                <w:color w:val="auto"/>
                <w:kern w:val="0"/>
                <w:szCs w:val="21"/>
              </w:rPr>
              <w:t>累计总分不超过</w:t>
            </w:r>
            <w:r>
              <w:rPr>
                <w:rFonts w:ascii="宋体" w:hAnsi="宋体" w:eastAsia="宋体" w:cs="宋体"/>
                <w:color w:val="auto"/>
                <w:kern w:val="0"/>
                <w:szCs w:val="21"/>
              </w:rPr>
              <w:t>6</w:t>
            </w:r>
            <w:r>
              <w:rPr>
                <w:rFonts w:hint="eastAsia" w:ascii="宋体" w:hAnsi="宋体" w:eastAsia="宋体" w:cs="宋体"/>
                <w:color w:val="auto"/>
                <w:kern w:val="0"/>
                <w:szCs w:val="21"/>
              </w:rPr>
              <w:t>分</w:t>
            </w:r>
            <w:r>
              <w:rPr>
                <w:rFonts w:hint="eastAsia" w:ascii="宋体" w:hAnsi="宋体" w:eastAsia="宋体" w:cs="宋体"/>
                <w:color w:val="auto"/>
                <w:kern w:val="0"/>
                <w:szCs w:val="21"/>
                <w:lang w:val="zh-CN"/>
              </w:rPr>
              <w:t>，</w:t>
            </w:r>
          </w:p>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lang w:val="zh-CN"/>
              </w:rPr>
              <w:t>指导青年教师</w:t>
            </w:r>
            <w:r>
              <w:rPr>
                <w:rFonts w:ascii="宋体" w:hAnsi="宋体" w:eastAsia="宋体" w:cs="宋体"/>
                <w:color w:val="auto"/>
                <w:kern w:val="0"/>
                <w:szCs w:val="21"/>
                <w:lang w:val="zh-CN"/>
              </w:rPr>
              <w:t>1</w:t>
            </w:r>
            <w:r>
              <w:rPr>
                <w:rFonts w:hint="eastAsia" w:ascii="宋体" w:hAnsi="宋体" w:eastAsia="宋体" w:cs="宋体"/>
                <w:color w:val="auto"/>
                <w:kern w:val="0"/>
                <w:szCs w:val="21"/>
                <w:lang w:val="zh-CN"/>
              </w:rPr>
              <w:t>－</w:t>
            </w:r>
            <w:r>
              <w:rPr>
                <w:rFonts w:ascii="宋体" w:hAnsi="宋体" w:eastAsia="宋体" w:cs="宋体"/>
                <w:color w:val="auto"/>
                <w:kern w:val="0"/>
                <w:szCs w:val="21"/>
                <w:lang w:val="zh-CN"/>
              </w:rPr>
              <w:t>2</w:t>
            </w:r>
            <w:r>
              <w:rPr>
                <w:rFonts w:hint="eastAsia" w:ascii="宋体" w:hAnsi="宋体" w:eastAsia="宋体" w:cs="宋体"/>
                <w:color w:val="auto"/>
                <w:kern w:val="0"/>
                <w:szCs w:val="21"/>
                <w:lang w:val="zh-CN"/>
              </w:rPr>
              <w:t>人得</w:t>
            </w:r>
            <w:r>
              <w:rPr>
                <w:rFonts w:ascii="宋体" w:hAnsi="宋体" w:eastAsia="宋体" w:cs="宋体"/>
                <w:color w:val="auto"/>
                <w:kern w:val="0"/>
                <w:szCs w:val="21"/>
                <w:lang w:val="zh-CN"/>
              </w:rPr>
              <w:t>3</w:t>
            </w:r>
            <w:r>
              <w:rPr>
                <w:rFonts w:hint="eastAsia" w:ascii="宋体" w:hAnsi="宋体" w:eastAsia="宋体" w:cs="宋体"/>
                <w:color w:val="auto"/>
                <w:kern w:val="0"/>
                <w:szCs w:val="21"/>
                <w:lang w:val="zh-CN"/>
              </w:rPr>
              <w:t>分。指导的青年教师获教学奖或市级以上课题前</w:t>
            </w:r>
            <w:r>
              <w:rPr>
                <w:rFonts w:ascii="宋体" w:hAnsi="宋体" w:eastAsia="宋体" w:cs="宋体"/>
                <w:color w:val="auto"/>
                <w:kern w:val="0"/>
                <w:szCs w:val="21"/>
                <w:lang w:val="zh-CN"/>
              </w:rPr>
              <w:t>5</w:t>
            </w:r>
            <w:r>
              <w:rPr>
                <w:rFonts w:hint="eastAsia" w:ascii="宋体" w:hAnsi="宋体" w:eastAsia="宋体" w:cs="宋体"/>
                <w:color w:val="auto"/>
                <w:kern w:val="0"/>
                <w:szCs w:val="21"/>
                <w:lang w:val="zh-CN"/>
              </w:rPr>
              <w:t>名得</w:t>
            </w:r>
            <w:r>
              <w:rPr>
                <w:rFonts w:ascii="宋体" w:hAnsi="宋体" w:eastAsia="宋体" w:cs="宋体"/>
                <w:color w:val="auto"/>
                <w:kern w:val="0"/>
                <w:szCs w:val="21"/>
                <w:lang w:val="zh-CN"/>
              </w:rPr>
              <w:t>3</w:t>
            </w:r>
            <w:r>
              <w:rPr>
                <w:rFonts w:hint="eastAsia" w:ascii="宋体" w:hAnsi="宋体" w:eastAsia="宋体" w:cs="宋体"/>
                <w:color w:val="auto"/>
                <w:kern w:val="0"/>
                <w:szCs w:val="21"/>
                <w:lang w:val="zh-CN"/>
              </w:rPr>
              <w:t>分</w:t>
            </w:r>
            <w:r>
              <w:rPr>
                <w:rFonts w:hint="eastAsia" w:ascii="宋体" w:hAnsi="宋体" w:eastAsia="宋体" w:cs="宋体"/>
                <w:color w:val="auto"/>
                <w:kern w:val="0"/>
                <w:szCs w:val="21"/>
              </w:rPr>
              <w:t>累计总分不超过</w:t>
            </w:r>
            <w:r>
              <w:rPr>
                <w:rFonts w:ascii="宋体" w:hAnsi="宋体" w:eastAsia="宋体" w:cs="宋体"/>
                <w:color w:val="auto"/>
                <w:kern w:val="0"/>
                <w:szCs w:val="21"/>
              </w:rPr>
              <w:t>7</w:t>
            </w:r>
            <w:r>
              <w:rPr>
                <w:rFonts w:hint="eastAsia" w:ascii="宋体" w:hAnsi="宋体" w:eastAsia="宋体" w:cs="宋体"/>
                <w:color w:val="auto"/>
                <w:kern w:val="0"/>
                <w:szCs w:val="21"/>
              </w:rPr>
              <w:t>分</w:t>
            </w:r>
            <w:r>
              <w:rPr>
                <w:rFonts w:hint="eastAsia" w:ascii="宋体" w:hAnsi="宋体" w:eastAsia="宋体" w:cs="宋体"/>
                <w:color w:val="auto"/>
                <w:kern w:val="0"/>
                <w:szCs w:val="21"/>
                <w:lang w:val="zh-CN"/>
              </w:rPr>
              <w:t>，</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0" w:hRule="atLeast"/>
          <w:jc w:val="center"/>
        </w:trPr>
        <w:tc>
          <w:tcPr>
            <w:tcW w:w="1051" w:type="dxa"/>
            <w:vMerge w:val="restart"/>
            <w:noWrap w:val="0"/>
            <w:vAlign w:val="center"/>
          </w:tcPr>
          <w:p>
            <w:pPr>
              <w:jc w:val="center"/>
              <w:rPr>
                <w:rFonts w:ascii="宋体" w:hAnsi="Calibri" w:eastAsia="宋体" w:cs="宋体"/>
                <w:color w:val="auto"/>
                <w:kern w:val="0"/>
                <w:szCs w:val="21"/>
              </w:rPr>
            </w:pPr>
            <w:r>
              <w:rPr>
                <w:rFonts w:hint="eastAsia" w:ascii="宋体" w:hAnsi="宋体" w:eastAsia="宋体" w:cs="宋体"/>
                <w:color w:val="auto"/>
                <w:kern w:val="0"/>
                <w:szCs w:val="21"/>
              </w:rPr>
              <w:t>三、学术研究（</w:t>
            </w:r>
            <w:r>
              <w:rPr>
                <w:rFonts w:ascii="宋体" w:hAnsi="宋体" w:eastAsia="宋体" w:cs="宋体"/>
                <w:color w:val="auto"/>
                <w:kern w:val="0"/>
                <w:szCs w:val="21"/>
              </w:rPr>
              <w:t>40</w:t>
            </w:r>
            <w:r>
              <w:rPr>
                <w:rFonts w:hint="eastAsia" w:ascii="宋体" w:hAnsi="宋体" w:eastAsia="宋体" w:cs="宋体"/>
                <w:color w:val="auto"/>
                <w:kern w:val="0"/>
                <w:szCs w:val="21"/>
              </w:rPr>
              <w:t>分）</w:t>
            </w:r>
          </w:p>
        </w:tc>
        <w:tc>
          <w:tcPr>
            <w:tcW w:w="3363" w:type="dxa"/>
            <w:noWrap w:val="0"/>
            <w:vAlign w:val="center"/>
          </w:tcPr>
          <w:p>
            <w:pPr>
              <w:widowControl/>
              <w:ind w:firstLine="420" w:firstLineChars="200"/>
              <w:jc w:val="left"/>
              <w:rPr>
                <w:rFonts w:ascii="宋体" w:hAnsi="Calibri" w:eastAsia="宋体" w:cs="宋体"/>
                <w:color w:val="auto"/>
                <w:kern w:val="0"/>
                <w:szCs w:val="21"/>
              </w:rPr>
            </w:pPr>
            <w:r>
              <w:rPr>
                <w:rFonts w:hint="eastAsia" w:ascii="宋体" w:hAnsi="宋体" w:eastAsia="宋体" w:cs="宋体"/>
                <w:color w:val="auto"/>
                <w:kern w:val="0"/>
                <w:szCs w:val="21"/>
              </w:rPr>
              <w:t>承担并依时完成省级研究课题≥</w:t>
            </w:r>
            <w:r>
              <w:rPr>
                <w:rFonts w:ascii="宋体" w:hAnsi="宋体" w:eastAsia="宋体" w:cs="宋体"/>
                <w:color w:val="auto"/>
                <w:kern w:val="0"/>
                <w:szCs w:val="21"/>
              </w:rPr>
              <w:t>1</w:t>
            </w:r>
            <w:r>
              <w:rPr>
                <w:rFonts w:hint="eastAsia" w:ascii="宋体" w:hAnsi="宋体" w:eastAsia="宋体" w:cs="宋体"/>
                <w:color w:val="auto"/>
                <w:kern w:val="0"/>
                <w:szCs w:val="21"/>
              </w:rPr>
              <w:t>项，省级及以上立项须是前</w:t>
            </w:r>
            <w:r>
              <w:rPr>
                <w:rFonts w:ascii="宋体" w:hAnsi="宋体" w:eastAsia="宋体" w:cs="宋体"/>
                <w:color w:val="auto"/>
                <w:kern w:val="0"/>
                <w:szCs w:val="21"/>
              </w:rPr>
              <w:t>2</w:t>
            </w:r>
            <w:r>
              <w:rPr>
                <w:rFonts w:hint="eastAsia" w:ascii="宋体" w:hAnsi="宋体" w:eastAsia="宋体" w:cs="宋体"/>
                <w:color w:val="auto"/>
                <w:kern w:val="0"/>
                <w:szCs w:val="21"/>
              </w:rPr>
              <w:t>名完成人。</w:t>
            </w:r>
          </w:p>
        </w:tc>
        <w:tc>
          <w:tcPr>
            <w:tcW w:w="875" w:type="dxa"/>
            <w:noWrap w:val="0"/>
            <w:vAlign w:val="center"/>
          </w:tcPr>
          <w:p>
            <w:pPr>
              <w:widowControl/>
              <w:ind w:left="-3" w:leftChars="-6" w:right="-82" w:rightChars="-39" w:hanging="10" w:hangingChars="5"/>
              <w:jc w:val="center"/>
              <w:rPr>
                <w:rFonts w:ascii="宋体" w:hAnsi="Calibri" w:eastAsia="宋体" w:cs="宋体"/>
                <w:color w:val="auto"/>
                <w:kern w:val="0"/>
                <w:szCs w:val="21"/>
              </w:rPr>
            </w:pPr>
            <w:r>
              <w:rPr>
                <w:rFonts w:ascii="宋体" w:hAnsi="宋体" w:eastAsia="宋体" w:cs="宋体"/>
                <w:color w:val="auto"/>
                <w:kern w:val="0"/>
                <w:szCs w:val="21"/>
              </w:rPr>
              <w:t>20</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厅级课题</w:t>
            </w:r>
            <w:r>
              <w:rPr>
                <w:rFonts w:ascii="宋体" w:hAnsi="宋体" w:eastAsia="宋体" w:cs="宋体"/>
                <w:color w:val="auto"/>
                <w:kern w:val="0"/>
                <w:szCs w:val="21"/>
              </w:rPr>
              <w:t>1</w:t>
            </w:r>
            <w:r>
              <w:rPr>
                <w:rFonts w:hint="eastAsia" w:ascii="宋体" w:hAnsi="宋体" w:eastAsia="宋体" w:cs="宋体"/>
                <w:color w:val="auto"/>
                <w:kern w:val="0"/>
                <w:szCs w:val="21"/>
              </w:rPr>
              <w:t>项得</w:t>
            </w:r>
            <w:r>
              <w:rPr>
                <w:rFonts w:ascii="宋体" w:hAnsi="宋体" w:eastAsia="宋体" w:cs="宋体"/>
                <w:color w:val="auto"/>
                <w:kern w:val="0"/>
                <w:szCs w:val="21"/>
              </w:rPr>
              <w:t>4</w:t>
            </w:r>
            <w:r>
              <w:rPr>
                <w:rFonts w:hint="eastAsia" w:ascii="宋体" w:hAnsi="宋体" w:eastAsia="宋体" w:cs="宋体"/>
                <w:color w:val="auto"/>
                <w:kern w:val="0"/>
                <w:szCs w:val="21"/>
              </w:rPr>
              <w:t>分，省、部级课题</w:t>
            </w:r>
            <w:r>
              <w:rPr>
                <w:rFonts w:ascii="宋体" w:hAnsi="宋体" w:eastAsia="宋体" w:cs="宋体"/>
                <w:color w:val="auto"/>
                <w:kern w:val="0"/>
                <w:szCs w:val="21"/>
              </w:rPr>
              <w:t>1</w:t>
            </w:r>
            <w:r>
              <w:rPr>
                <w:rFonts w:hint="eastAsia" w:ascii="宋体" w:hAnsi="宋体" w:eastAsia="宋体" w:cs="宋体"/>
                <w:color w:val="auto"/>
                <w:kern w:val="0"/>
                <w:szCs w:val="21"/>
              </w:rPr>
              <w:t>项得</w:t>
            </w:r>
            <w:r>
              <w:rPr>
                <w:rFonts w:ascii="宋体" w:hAnsi="宋体" w:eastAsia="宋体" w:cs="宋体"/>
                <w:color w:val="auto"/>
                <w:kern w:val="0"/>
                <w:szCs w:val="21"/>
              </w:rPr>
              <w:t>10</w:t>
            </w:r>
            <w:r>
              <w:rPr>
                <w:rFonts w:hint="eastAsia" w:ascii="宋体" w:hAnsi="宋体" w:eastAsia="宋体" w:cs="宋体"/>
                <w:color w:val="auto"/>
                <w:kern w:val="0"/>
                <w:szCs w:val="21"/>
              </w:rPr>
              <w:t>分，</w:t>
            </w:r>
            <w:r>
              <w:rPr>
                <w:rFonts w:hint="eastAsia" w:ascii="宋体" w:hAnsi="宋体" w:eastAsia="宋体" w:cs="宋体"/>
                <w:color w:val="auto"/>
                <w:szCs w:val="21"/>
              </w:rPr>
              <w:t>获省级三等奖得</w:t>
            </w:r>
            <w:r>
              <w:rPr>
                <w:rFonts w:ascii="宋体" w:hAnsi="宋体" w:eastAsia="宋体" w:cs="宋体"/>
                <w:color w:val="auto"/>
                <w:szCs w:val="21"/>
              </w:rPr>
              <w:t>5</w:t>
            </w:r>
            <w:r>
              <w:rPr>
                <w:rFonts w:hint="eastAsia" w:ascii="宋体" w:hAnsi="宋体" w:eastAsia="宋体" w:cs="宋体"/>
                <w:color w:val="auto"/>
                <w:szCs w:val="21"/>
              </w:rPr>
              <w:t>分，二等奖得</w:t>
            </w:r>
            <w:r>
              <w:rPr>
                <w:rFonts w:ascii="宋体" w:hAnsi="宋体" w:eastAsia="宋体" w:cs="宋体"/>
                <w:color w:val="auto"/>
                <w:szCs w:val="21"/>
              </w:rPr>
              <w:t>8</w:t>
            </w:r>
            <w:r>
              <w:rPr>
                <w:rFonts w:hint="eastAsia" w:ascii="宋体" w:hAnsi="宋体" w:eastAsia="宋体" w:cs="宋体"/>
                <w:color w:val="auto"/>
                <w:szCs w:val="21"/>
              </w:rPr>
              <w:t>分，一等奖得</w:t>
            </w:r>
            <w:r>
              <w:rPr>
                <w:rFonts w:ascii="宋体" w:hAnsi="宋体" w:eastAsia="宋体" w:cs="宋体"/>
                <w:color w:val="auto"/>
                <w:szCs w:val="21"/>
              </w:rPr>
              <w:t>10</w:t>
            </w:r>
            <w:r>
              <w:rPr>
                <w:rFonts w:hint="eastAsia" w:ascii="宋体" w:hAnsi="宋体" w:eastAsia="宋体" w:cs="宋体"/>
                <w:color w:val="auto"/>
                <w:szCs w:val="21"/>
              </w:rPr>
              <w:t>分（获两个以上奖项得满分）</w:t>
            </w:r>
            <w:r>
              <w:rPr>
                <w:rFonts w:hint="eastAsia" w:ascii="宋体" w:hAnsi="宋体" w:eastAsia="宋体" w:cs="宋体"/>
                <w:color w:val="auto"/>
                <w:kern w:val="0"/>
                <w:szCs w:val="21"/>
              </w:rPr>
              <w:t>国家级课题（国家自然科学基金等）</w:t>
            </w:r>
            <w:r>
              <w:rPr>
                <w:rFonts w:ascii="宋体" w:hAnsi="宋体" w:eastAsia="宋体" w:cs="宋体"/>
                <w:color w:val="auto"/>
                <w:kern w:val="0"/>
                <w:szCs w:val="21"/>
              </w:rPr>
              <w:t>1</w:t>
            </w:r>
            <w:r>
              <w:rPr>
                <w:rFonts w:hint="eastAsia" w:ascii="宋体" w:hAnsi="宋体" w:eastAsia="宋体" w:cs="宋体"/>
                <w:color w:val="auto"/>
                <w:kern w:val="0"/>
                <w:szCs w:val="21"/>
              </w:rPr>
              <w:t>项得</w:t>
            </w:r>
            <w:r>
              <w:rPr>
                <w:rFonts w:ascii="宋体" w:hAnsi="宋体" w:eastAsia="宋体" w:cs="宋体"/>
                <w:color w:val="auto"/>
                <w:kern w:val="0"/>
                <w:szCs w:val="21"/>
              </w:rPr>
              <w:t>20</w:t>
            </w:r>
            <w:r>
              <w:rPr>
                <w:rFonts w:hint="eastAsia" w:ascii="宋体" w:hAnsi="宋体" w:eastAsia="宋体" w:cs="宋体"/>
                <w:color w:val="auto"/>
                <w:kern w:val="0"/>
                <w:szCs w:val="21"/>
              </w:rPr>
              <w:t>分。</w:t>
            </w:r>
          </w:p>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累计总分不超过</w:t>
            </w:r>
            <w:r>
              <w:rPr>
                <w:rFonts w:ascii="宋体" w:hAnsi="宋体" w:eastAsia="宋体" w:cs="宋体"/>
                <w:color w:val="auto"/>
                <w:kern w:val="0"/>
                <w:szCs w:val="21"/>
              </w:rPr>
              <w:t>20</w:t>
            </w:r>
            <w:r>
              <w:rPr>
                <w:rFonts w:hint="eastAsia" w:ascii="宋体" w:hAnsi="宋体" w:eastAsia="宋体" w:cs="宋体"/>
                <w:color w:val="auto"/>
                <w:kern w:val="0"/>
                <w:szCs w:val="21"/>
              </w:rPr>
              <w:t>分。</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73" w:hRule="atLeast"/>
          <w:jc w:val="center"/>
        </w:trPr>
        <w:tc>
          <w:tcPr>
            <w:tcW w:w="1051" w:type="dxa"/>
            <w:vMerge w:val="continue"/>
            <w:noWrap w:val="0"/>
            <w:vAlign w:val="center"/>
          </w:tcPr>
          <w:p>
            <w:pPr>
              <w:widowControl/>
              <w:ind w:firstLine="420" w:firstLineChars="200"/>
              <w:jc w:val="center"/>
              <w:rPr>
                <w:rFonts w:ascii="宋体" w:hAnsi="Calibri" w:eastAsia="宋体" w:cs="宋体"/>
                <w:color w:val="auto"/>
                <w:kern w:val="0"/>
                <w:szCs w:val="21"/>
              </w:rPr>
            </w:pPr>
          </w:p>
        </w:tc>
        <w:tc>
          <w:tcPr>
            <w:tcW w:w="3363" w:type="dxa"/>
            <w:noWrap w:val="0"/>
            <w:vAlign w:val="center"/>
          </w:tcPr>
          <w:p>
            <w:pPr>
              <w:widowControl/>
              <w:ind w:firstLine="420" w:firstLineChars="200"/>
              <w:jc w:val="left"/>
              <w:rPr>
                <w:rFonts w:ascii="宋体" w:hAnsi="Calibri" w:eastAsia="宋体" w:cs="宋体"/>
                <w:color w:val="auto"/>
                <w:kern w:val="0"/>
                <w:szCs w:val="21"/>
              </w:rPr>
            </w:pPr>
            <w:r>
              <w:rPr>
                <w:rFonts w:hint="eastAsia" w:ascii="宋体" w:hAnsi="宋体" w:eastAsia="宋体" w:cs="宋体"/>
                <w:color w:val="auto"/>
                <w:kern w:val="0"/>
                <w:szCs w:val="21"/>
              </w:rPr>
              <w:t>在地方性公开发行刊物发表论文（第一作者）</w:t>
            </w:r>
            <w:r>
              <w:rPr>
                <w:rFonts w:ascii="宋体" w:hAnsi="宋体" w:eastAsia="宋体" w:cs="宋体"/>
                <w:color w:val="auto"/>
                <w:kern w:val="0"/>
                <w:szCs w:val="21"/>
              </w:rPr>
              <w:t>1</w:t>
            </w:r>
            <w:r>
              <w:rPr>
                <w:rFonts w:hint="eastAsia" w:ascii="宋体" w:hAnsi="宋体" w:eastAsia="宋体" w:cs="宋体"/>
                <w:color w:val="auto"/>
                <w:kern w:val="0"/>
                <w:szCs w:val="21"/>
              </w:rPr>
              <w:t>篇以上，或参加市级以上学术会议交流，或出版专著（独立专著要求</w:t>
            </w:r>
            <w:r>
              <w:rPr>
                <w:rFonts w:ascii="宋体" w:hAnsi="宋体" w:eastAsia="宋体" w:cs="宋体"/>
                <w:color w:val="auto"/>
                <w:kern w:val="0"/>
                <w:szCs w:val="21"/>
              </w:rPr>
              <w:t>6</w:t>
            </w:r>
            <w:r>
              <w:rPr>
                <w:rFonts w:hint="eastAsia" w:ascii="宋体" w:hAnsi="宋体" w:eastAsia="宋体" w:cs="宋体"/>
                <w:color w:val="auto"/>
                <w:kern w:val="0"/>
                <w:szCs w:val="21"/>
              </w:rPr>
              <w:t>万字符以上，合著要求</w:t>
            </w:r>
            <w:r>
              <w:rPr>
                <w:rFonts w:ascii="宋体" w:hAnsi="宋体" w:eastAsia="宋体" w:cs="宋体"/>
                <w:color w:val="auto"/>
                <w:kern w:val="0"/>
                <w:szCs w:val="21"/>
              </w:rPr>
              <w:t>10</w:t>
            </w:r>
            <w:r>
              <w:rPr>
                <w:rFonts w:hint="eastAsia" w:ascii="宋体" w:hAnsi="宋体" w:eastAsia="宋体" w:cs="宋体"/>
                <w:color w:val="auto"/>
                <w:kern w:val="0"/>
                <w:szCs w:val="21"/>
              </w:rPr>
              <w:t>万字符以上、担任编委或以上职责。</w:t>
            </w:r>
          </w:p>
        </w:tc>
        <w:tc>
          <w:tcPr>
            <w:tcW w:w="875" w:type="dxa"/>
            <w:noWrap w:val="0"/>
            <w:vAlign w:val="center"/>
          </w:tcPr>
          <w:p>
            <w:pPr>
              <w:widowControl/>
              <w:ind w:left="-3" w:leftChars="-6" w:right="-82" w:rightChars="-39" w:hanging="10" w:hangingChars="5"/>
              <w:jc w:val="center"/>
              <w:rPr>
                <w:rFonts w:ascii="宋体" w:hAnsi="Calibri" w:eastAsia="宋体" w:cs="宋体"/>
                <w:color w:val="auto"/>
                <w:kern w:val="0"/>
                <w:szCs w:val="21"/>
              </w:rPr>
            </w:pPr>
            <w:r>
              <w:rPr>
                <w:rFonts w:ascii="宋体" w:hAnsi="宋体" w:eastAsia="宋体" w:cs="宋体"/>
                <w:color w:val="auto"/>
                <w:kern w:val="0"/>
                <w:szCs w:val="21"/>
              </w:rPr>
              <w:t>20</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省级正规学术刊物</w:t>
            </w:r>
            <w:r>
              <w:rPr>
                <w:rFonts w:ascii="宋体" w:hAnsi="宋体" w:eastAsia="宋体" w:cs="宋体"/>
                <w:color w:val="auto"/>
                <w:kern w:val="0"/>
                <w:szCs w:val="21"/>
              </w:rPr>
              <w:t>1</w:t>
            </w:r>
            <w:r>
              <w:rPr>
                <w:rFonts w:hint="eastAsia" w:ascii="宋体" w:hAnsi="宋体" w:eastAsia="宋体" w:cs="宋体"/>
                <w:color w:val="auto"/>
                <w:kern w:val="0"/>
                <w:szCs w:val="21"/>
              </w:rPr>
              <w:t>篇得</w:t>
            </w:r>
            <w:r>
              <w:rPr>
                <w:rFonts w:ascii="宋体" w:hAnsi="宋体" w:eastAsia="宋体" w:cs="宋体"/>
                <w:color w:val="auto"/>
                <w:kern w:val="0"/>
                <w:szCs w:val="21"/>
              </w:rPr>
              <w:t>1</w:t>
            </w:r>
            <w:r>
              <w:rPr>
                <w:rFonts w:hint="eastAsia" w:ascii="宋体" w:hAnsi="宋体" w:eastAsia="宋体" w:cs="宋体"/>
                <w:color w:val="auto"/>
                <w:kern w:val="0"/>
                <w:szCs w:val="21"/>
              </w:rPr>
              <w:t>分，国家级正规学术刊物</w:t>
            </w:r>
            <w:r>
              <w:rPr>
                <w:rFonts w:ascii="宋体" w:hAnsi="宋体" w:eastAsia="宋体" w:cs="宋体"/>
                <w:color w:val="auto"/>
                <w:kern w:val="0"/>
                <w:szCs w:val="21"/>
              </w:rPr>
              <w:t>1</w:t>
            </w:r>
            <w:r>
              <w:rPr>
                <w:rFonts w:hint="eastAsia" w:ascii="宋体" w:hAnsi="宋体" w:eastAsia="宋体" w:cs="宋体"/>
                <w:color w:val="auto"/>
                <w:kern w:val="0"/>
                <w:szCs w:val="21"/>
              </w:rPr>
              <w:t>篇得</w:t>
            </w:r>
            <w:r>
              <w:rPr>
                <w:rFonts w:ascii="宋体" w:hAnsi="宋体" w:eastAsia="宋体" w:cs="宋体"/>
                <w:color w:val="auto"/>
                <w:kern w:val="0"/>
                <w:szCs w:val="21"/>
              </w:rPr>
              <w:t>2</w:t>
            </w:r>
            <w:r>
              <w:rPr>
                <w:rFonts w:hint="eastAsia" w:ascii="宋体" w:hAnsi="宋体" w:eastAsia="宋体" w:cs="宋体"/>
                <w:color w:val="auto"/>
                <w:kern w:val="0"/>
                <w:szCs w:val="21"/>
              </w:rPr>
              <w:t>分。此项累计总分不超过</w:t>
            </w:r>
            <w:r>
              <w:rPr>
                <w:rFonts w:ascii="宋体" w:hAnsi="宋体" w:eastAsia="宋体" w:cs="宋体"/>
                <w:color w:val="auto"/>
                <w:kern w:val="0"/>
                <w:szCs w:val="21"/>
              </w:rPr>
              <w:t>10</w:t>
            </w:r>
            <w:r>
              <w:rPr>
                <w:rFonts w:hint="eastAsia" w:ascii="宋体" w:hAnsi="宋体" w:eastAsia="宋体" w:cs="宋体"/>
                <w:color w:val="auto"/>
                <w:kern w:val="0"/>
                <w:szCs w:val="21"/>
              </w:rPr>
              <w:t>分。</w:t>
            </w:r>
          </w:p>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参加学术交流会议省级</w:t>
            </w:r>
            <w:r>
              <w:rPr>
                <w:rFonts w:ascii="宋体" w:hAnsi="宋体" w:eastAsia="宋体" w:cs="宋体"/>
                <w:color w:val="auto"/>
                <w:kern w:val="0"/>
                <w:szCs w:val="21"/>
              </w:rPr>
              <w:t>1</w:t>
            </w:r>
            <w:r>
              <w:rPr>
                <w:rFonts w:hint="eastAsia" w:ascii="宋体" w:hAnsi="宋体" w:eastAsia="宋体" w:cs="宋体"/>
                <w:color w:val="auto"/>
                <w:kern w:val="0"/>
                <w:szCs w:val="21"/>
              </w:rPr>
              <w:t>次得</w:t>
            </w:r>
            <w:r>
              <w:rPr>
                <w:rFonts w:ascii="宋体" w:hAnsi="宋体" w:eastAsia="宋体" w:cs="宋体"/>
                <w:color w:val="auto"/>
                <w:kern w:val="0"/>
                <w:szCs w:val="21"/>
              </w:rPr>
              <w:t>1</w:t>
            </w:r>
            <w:r>
              <w:rPr>
                <w:rFonts w:hint="eastAsia" w:ascii="宋体" w:hAnsi="宋体" w:eastAsia="宋体" w:cs="宋体"/>
                <w:color w:val="auto"/>
                <w:kern w:val="0"/>
                <w:szCs w:val="21"/>
              </w:rPr>
              <w:t>分，国家级</w:t>
            </w:r>
            <w:r>
              <w:rPr>
                <w:rFonts w:ascii="宋体" w:hAnsi="宋体" w:eastAsia="宋体" w:cs="宋体"/>
                <w:color w:val="auto"/>
                <w:kern w:val="0"/>
                <w:szCs w:val="21"/>
              </w:rPr>
              <w:t>1</w:t>
            </w:r>
            <w:r>
              <w:rPr>
                <w:rFonts w:hint="eastAsia" w:ascii="宋体" w:hAnsi="宋体" w:eastAsia="宋体" w:cs="宋体"/>
                <w:color w:val="auto"/>
                <w:kern w:val="0"/>
                <w:szCs w:val="21"/>
              </w:rPr>
              <w:t>次得</w:t>
            </w:r>
            <w:r>
              <w:rPr>
                <w:rFonts w:ascii="宋体" w:hAnsi="宋体" w:eastAsia="宋体" w:cs="宋体"/>
                <w:color w:val="auto"/>
                <w:kern w:val="0"/>
                <w:szCs w:val="21"/>
              </w:rPr>
              <w:t>2</w:t>
            </w:r>
            <w:r>
              <w:rPr>
                <w:rFonts w:hint="eastAsia" w:ascii="宋体" w:hAnsi="宋体" w:eastAsia="宋体" w:cs="宋体"/>
                <w:color w:val="auto"/>
                <w:kern w:val="0"/>
                <w:szCs w:val="21"/>
              </w:rPr>
              <w:t>分，国际会议</w:t>
            </w:r>
            <w:r>
              <w:rPr>
                <w:rFonts w:ascii="宋体" w:hAnsi="宋体" w:eastAsia="宋体" w:cs="宋体"/>
                <w:color w:val="auto"/>
                <w:kern w:val="0"/>
                <w:szCs w:val="21"/>
              </w:rPr>
              <w:t>1</w:t>
            </w:r>
            <w:r>
              <w:rPr>
                <w:rFonts w:hint="eastAsia" w:ascii="宋体" w:hAnsi="宋体" w:eastAsia="宋体" w:cs="宋体"/>
                <w:color w:val="auto"/>
                <w:kern w:val="0"/>
                <w:szCs w:val="21"/>
              </w:rPr>
              <w:t>次得</w:t>
            </w:r>
            <w:r>
              <w:rPr>
                <w:rFonts w:ascii="宋体" w:hAnsi="宋体" w:eastAsia="宋体" w:cs="宋体"/>
                <w:color w:val="auto"/>
                <w:kern w:val="0"/>
                <w:szCs w:val="21"/>
              </w:rPr>
              <w:t>5</w:t>
            </w:r>
            <w:r>
              <w:rPr>
                <w:rFonts w:hint="eastAsia" w:ascii="宋体" w:hAnsi="宋体" w:eastAsia="宋体" w:cs="宋体"/>
                <w:color w:val="auto"/>
                <w:kern w:val="0"/>
                <w:szCs w:val="21"/>
              </w:rPr>
              <w:t>分，此项累计总分不超过</w:t>
            </w:r>
            <w:r>
              <w:rPr>
                <w:rFonts w:ascii="宋体" w:hAnsi="宋体" w:eastAsia="宋体" w:cs="宋体"/>
                <w:color w:val="auto"/>
                <w:kern w:val="0"/>
                <w:szCs w:val="21"/>
              </w:rPr>
              <w:t>5</w:t>
            </w:r>
            <w:r>
              <w:rPr>
                <w:rFonts w:hint="eastAsia" w:ascii="宋体" w:hAnsi="宋体" w:eastAsia="宋体" w:cs="宋体"/>
                <w:color w:val="auto"/>
                <w:kern w:val="0"/>
                <w:szCs w:val="21"/>
              </w:rPr>
              <w:t>分。</w:t>
            </w:r>
          </w:p>
          <w:p>
            <w:pPr>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主编国家统编教材或出版专著</w:t>
            </w:r>
            <w:r>
              <w:rPr>
                <w:rFonts w:ascii="宋体" w:hAnsi="宋体" w:eastAsia="宋体" w:cs="宋体"/>
                <w:color w:val="auto"/>
                <w:kern w:val="0"/>
                <w:szCs w:val="21"/>
              </w:rPr>
              <w:t>1</w:t>
            </w:r>
            <w:r>
              <w:rPr>
                <w:rFonts w:hint="eastAsia" w:ascii="宋体" w:hAnsi="宋体" w:eastAsia="宋体" w:cs="宋体"/>
                <w:color w:val="auto"/>
                <w:kern w:val="0"/>
                <w:szCs w:val="21"/>
              </w:rPr>
              <w:t>部得</w:t>
            </w:r>
            <w:r>
              <w:rPr>
                <w:rFonts w:ascii="宋体" w:hAnsi="宋体" w:eastAsia="宋体" w:cs="宋体"/>
                <w:color w:val="auto"/>
                <w:kern w:val="0"/>
                <w:szCs w:val="21"/>
              </w:rPr>
              <w:t>5</w:t>
            </w:r>
            <w:r>
              <w:rPr>
                <w:rFonts w:hint="eastAsia" w:ascii="宋体" w:hAnsi="宋体" w:eastAsia="宋体" w:cs="宋体"/>
                <w:color w:val="auto"/>
                <w:kern w:val="0"/>
                <w:szCs w:val="21"/>
              </w:rPr>
              <w:t>分。副主编得</w:t>
            </w:r>
            <w:r>
              <w:rPr>
                <w:rFonts w:ascii="宋体" w:hAnsi="宋体" w:eastAsia="宋体" w:cs="宋体"/>
                <w:color w:val="auto"/>
                <w:kern w:val="0"/>
                <w:szCs w:val="21"/>
              </w:rPr>
              <w:t>3</w:t>
            </w:r>
            <w:r>
              <w:rPr>
                <w:rFonts w:hint="eastAsia" w:ascii="宋体" w:hAnsi="宋体" w:eastAsia="宋体" w:cs="宋体"/>
                <w:color w:val="auto"/>
                <w:kern w:val="0"/>
                <w:szCs w:val="21"/>
              </w:rPr>
              <w:t>分，编委</w:t>
            </w:r>
            <w:r>
              <w:rPr>
                <w:rFonts w:ascii="宋体" w:hAnsi="宋体" w:eastAsia="宋体" w:cs="宋体"/>
                <w:color w:val="auto"/>
                <w:kern w:val="0"/>
                <w:szCs w:val="21"/>
              </w:rPr>
              <w:t>2</w:t>
            </w:r>
            <w:r>
              <w:rPr>
                <w:rFonts w:hint="eastAsia" w:ascii="宋体" w:hAnsi="宋体" w:eastAsia="宋体" w:cs="宋体"/>
                <w:color w:val="auto"/>
                <w:kern w:val="0"/>
                <w:szCs w:val="21"/>
              </w:rPr>
              <w:t>分。</w:t>
            </w:r>
            <w:r>
              <w:rPr>
                <w:rFonts w:ascii="宋体" w:hAnsi="宋体" w:eastAsia="宋体" w:cs="宋体"/>
                <w:color w:val="auto"/>
                <w:kern w:val="0"/>
                <w:szCs w:val="21"/>
              </w:rPr>
              <w:t xml:space="preserve"> </w:t>
            </w:r>
            <w:r>
              <w:rPr>
                <w:rFonts w:hint="eastAsia" w:ascii="宋体" w:hAnsi="宋体" w:eastAsia="宋体" w:cs="宋体"/>
                <w:color w:val="auto"/>
                <w:kern w:val="0"/>
                <w:szCs w:val="21"/>
              </w:rPr>
              <w:t>累计总分不超过</w:t>
            </w:r>
            <w:r>
              <w:rPr>
                <w:rFonts w:ascii="宋体" w:hAnsi="宋体" w:eastAsia="宋体" w:cs="宋体"/>
                <w:color w:val="auto"/>
                <w:kern w:val="0"/>
                <w:szCs w:val="21"/>
              </w:rPr>
              <w:t>15</w:t>
            </w:r>
            <w:r>
              <w:rPr>
                <w:rFonts w:hint="eastAsia" w:ascii="宋体" w:hAnsi="宋体" w:eastAsia="宋体" w:cs="宋体"/>
                <w:color w:val="auto"/>
                <w:kern w:val="0"/>
                <w:szCs w:val="21"/>
              </w:rPr>
              <w:t>分。</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83" w:hRule="atLeast"/>
          <w:jc w:val="center"/>
        </w:trPr>
        <w:tc>
          <w:tcPr>
            <w:tcW w:w="1051" w:type="dxa"/>
            <w:noWrap w:val="0"/>
            <w:vAlign w:val="center"/>
          </w:tcPr>
          <w:p>
            <w:pPr>
              <w:jc w:val="center"/>
              <w:rPr>
                <w:rFonts w:ascii="宋体" w:hAnsi="Calibri" w:eastAsia="宋体" w:cs="宋体"/>
                <w:color w:val="auto"/>
                <w:kern w:val="0"/>
                <w:szCs w:val="21"/>
              </w:rPr>
            </w:pPr>
            <w:r>
              <w:rPr>
                <w:rFonts w:hint="eastAsia" w:ascii="宋体" w:hAnsi="宋体" w:eastAsia="宋体" w:cs="宋体"/>
                <w:color w:val="auto"/>
                <w:kern w:val="0"/>
                <w:szCs w:val="21"/>
              </w:rPr>
              <w:t>四、</w:t>
            </w:r>
            <w:r>
              <w:rPr>
                <w:rFonts w:hint="eastAsia" w:ascii="宋体" w:hAnsi="宋体" w:eastAsia="宋体" w:cs="宋体"/>
                <w:color w:val="auto"/>
                <w:szCs w:val="21"/>
              </w:rPr>
              <w:t>企业经历与行业影响力（</w:t>
            </w:r>
            <w:r>
              <w:rPr>
                <w:rFonts w:ascii="宋体" w:hAnsi="宋体" w:eastAsia="宋体" w:cs="宋体"/>
                <w:color w:val="auto"/>
                <w:szCs w:val="21"/>
              </w:rPr>
              <w:t>5</w:t>
            </w:r>
            <w:r>
              <w:rPr>
                <w:rFonts w:hint="eastAsia" w:ascii="宋体" w:hAnsi="宋体" w:eastAsia="宋体" w:cs="宋体"/>
                <w:color w:val="auto"/>
                <w:szCs w:val="21"/>
              </w:rPr>
              <w:t>分）</w:t>
            </w:r>
          </w:p>
        </w:tc>
        <w:tc>
          <w:tcPr>
            <w:tcW w:w="3363" w:type="dxa"/>
            <w:noWrap w:val="0"/>
            <w:vAlign w:val="center"/>
          </w:tcPr>
          <w:p>
            <w:pPr>
              <w:ind w:firstLine="420" w:firstLineChars="200"/>
              <w:jc w:val="left"/>
              <w:rPr>
                <w:rFonts w:ascii="宋体" w:hAnsi="Calibri" w:eastAsia="宋体" w:cs="宋体"/>
                <w:color w:val="auto"/>
                <w:kern w:val="0"/>
                <w:szCs w:val="21"/>
              </w:rPr>
            </w:pPr>
            <w:r>
              <w:rPr>
                <w:rFonts w:hint="eastAsia" w:ascii="宋体" w:hAnsi="宋体" w:eastAsia="宋体" w:cs="宋体"/>
                <w:color w:val="auto"/>
                <w:szCs w:val="21"/>
              </w:rPr>
              <w:t>累计具有企业（单位）相关技术（或管理）岗位</w:t>
            </w:r>
            <w:r>
              <w:rPr>
                <w:rFonts w:ascii="宋体" w:hAnsi="宋体" w:eastAsia="宋体" w:cs="宋体"/>
                <w:color w:val="auto"/>
                <w:szCs w:val="21"/>
              </w:rPr>
              <w:t>3</w:t>
            </w:r>
            <w:r>
              <w:rPr>
                <w:rFonts w:hint="eastAsia" w:ascii="宋体" w:hAnsi="宋体" w:eastAsia="宋体" w:cs="宋体"/>
                <w:color w:val="auto"/>
                <w:szCs w:val="21"/>
              </w:rPr>
              <w:t>年以上工作经历，拥有至少一项中级（国家职业资格四级）以上有效职业资格；近</w:t>
            </w:r>
            <w:r>
              <w:rPr>
                <w:rFonts w:ascii="宋体" w:hAnsi="宋体" w:eastAsia="宋体" w:cs="宋体"/>
                <w:color w:val="auto"/>
                <w:szCs w:val="21"/>
              </w:rPr>
              <w:t>3</w:t>
            </w:r>
            <w:r>
              <w:rPr>
                <w:rFonts w:hint="eastAsia" w:ascii="宋体" w:hAnsi="宋体" w:eastAsia="宋体" w:cs="宋体"/>
                <w:color w:val="auto"/>
                <w:szCs w:val="21"/>
              </w:rPr>
              <w:t>年有在企业（或行业协会、单位、机构等）中兼任相关技术（或管理）职务，在行业企业的技术领域具有一定影响力，且取得了行业企业公认的实质性工作成果或业绩。</w:t>
            </w:r>
          </w:p>
        </w:tc>
        <w:tc>
          <w:tcPr>
            <w:tcW w:w="875" w:type="dxa"/>
            <w:noWrap w:val="0"/>
            <w:vAlign w:val="center"/>
          </w:tcPr>
          <w:p>
            <w:pPr>
              <w:ind w:left="-3" w:leftChars="-6" w:hanging="10" w:hangingChars="5"/>
              <w:jc w:val="center"/>
              <w:rPr>
                <w:rFonts w:ascii="宋体" w:hAnsi="Calibri" w:eastAsia="宋体" w:cs="宋体"/>
                <w:color w:val="auto"/>
                <w:kern w:val="0"/>
                <w:szCs w:val="21"/>
              </w:rPr>
            </w:pPr>
            <w:r>
              <w:rPr>
                <w:rFonts w:ascii="宋体" w:hAnsi="宋体" w:eastAsia="宋体" w:cs="宋体"/>
                <w:color w:val="auto"/>
                <w:kern w:val="0"/>
                <w:szCs w:val="21"/>
              </w:rPr>
              <w:t>5</w:t>
            </w:r>
            <w:r>
              <w:rPr>
                <w:rFonts w:hint="eastAsia" w:ascii="宋体" w:hAnsi="宋体" w:eastAsia="宋体" w:cs="宋体"/>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szCs w:val="21"/>
              </w:rPr>
              <w:t>累计具有企业（单位）相关技术（或管理）岗位</w:t>
            </w:r>
            <w:r>
              <w:rPr>
                <w:rFonts w:ascii="宋体" w:hAnsi="宋体" w:eastAsia="宋体" w:cs="宋体"/>
                <w:color w:val="auto"/>
                <w:szCs w:val="21"/>
              </w:rPr>
              <w:t>3</w:t>
            </w:r>
            <w:r>
              <w:rPr>
                <w:rFonts w:hint="eastAsia" w:ascii="宋体" w:hAnsi="宋体" w:eastAsia="宋体" w:cs="宋体"/>
                <w:color w:val="auto"/>
                <w:szCs w:val="21"/>
              </w:rPr>
              <w:t>年以上工作经历</w:t>
            </w:r>
            <w:r>
              <w:rPr>
                <w:rFonts w:hint="eastAsia" w:ascii="宋体" w:hAnsi="宋体" w:eastAsia="宋体" w:cs="宋体"/>
                <w:color w:val="auto"/>
                <w:kern w:val="0"/>
                <w:szCs w:val="21"/>
              </w:rPr>
              <w:t>得</w:t>
            </w:r>
            <w:r>
              <w:rPr>
                <w:rFonts w:ascii="宋体" w:hAnsi="宋体" w:eastAsia="宋体" w:cs="宋体"/>
                <w:color w:val="auto"/>
                <w:kern w:val="0"/>
                <w:szCs w:val="21"/>
              </w:rPr>
              <w:t>3</w:t>
            </w:r>
            <w:r>
              <w:rPr>
                <w:rFonts w:hint="eastAsia" w:ascii="宋体" w:hAnsi="宋体" w:eastAsia="宋体" w:cs="宋体"/>
                <w:color w:val="auto"/>
                <w:kern w:val="0"/>
                <w:szCs w:val="21"/>
              </w:rPr>
              <w:t>分</w:t>
            </w:r>
            <w:r>
              <w:rPr>
                <w:rFonts w:hint="eastAsia" w:ascii="宋体" w:hAnsi="宋体" w:eastAsia="宋体" w:cs="宋体"/>
                <w:color w:val="auto"/>
                <w:szCs w:val="21"/>
              </w:rPr>
              <w:t>，近</w:t>
            </w:r>
            <w:r>
              <w:rPr>
                <w:rFonts w:ascii="宋体" w:hAnsi="宋体" w:eastAsia="宋体" w:cs="宋体"/>
                <w:color w:val="auto"/>
                <w:szCs w:val="21"/>
              </w:rPr>
              <w:t>3</w:t>
            </w:r>
            <w:r>
              <w:rPr>
                <w:rFonts w:hint="eastAsia" w:ascii="宋体" w:hAnsi="宋体" w:eastAsia="宋体" w:cs="宋体"/>
                <w:color w:val="auto"/>
                <w:szCs w:val="21"/>
              </w:rPr>
              <w:t>年有在企业（或行业协会、单位、机构等）中兼任相关技术（或管理）职务</w:t>
            </w:r>
            <w:r>
              <w:rPr>
                <w:rFonts w:hint="eastAsia" w:ascii="宋体" w:hAnsi="宋体" w:eastAsia="宋体" w:cs="宋体"/>
                <w:color w:val="auto"/>
                <w:kern w:val="0"/>
                <w:szCs w:val="21"/>
              </w:rPr>
              <w:t>得</w:t>
            </w:r>
            <w:r>
              <w:rPr>
                <w:rFonts w:ascii="宋体" w:hAnsi="宋体" w:eastAsia="宋体" w:cs="宋体"/>
                <w:color w:val="auto"/>
                <w:kern w:val="0"/>
                <w:szCs w:val="21"/>
              </w:rPr>
              <w:t>2</w:t>
            </w:r>
            <w:r>
              <w:rPr>
                <w:rFonts w:hint="eastAsia" w:ascii="宋体" w:hAnsi="宋体" w:eastAsia="宋体" w:cs="宋体"/>
                <w:color w:val="auto"/>
                <w:kern w:val="0"/>
                <w:szCs w:val="21"/>
              </w:rPr>
              <w:t>分</w:t>
            </w:r>
          </w:p>
        </w:tc>
        <w:tc>
          <w:tcPr>
            <w:tcW w:w="1093" w:type="dxa"/>
            <w:noWrap w:val="0"/>
            <w:vAlign w:val="center"/>
          </w:tcPr>
          <w:p>
            <w:pPr>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6" w:hRule="atLeast"/>
          <w:jc w:val="center"/>
        </w:trPr>
        <w:tc>
          <w:tcPr>
            <w:tcW w:w="1051" w:type="dxa"/>
            <w:noWrap w:val="0"/>
            <w:vAlign w:val="center"/>
          </w:tcPr>
          <w:p>
            <w:pPr>
              <w:jc w:val="center"/>
              <w:rPr>
                <w:rFonts w:ascii="宋体" w:hAnsi="Calibri" w:eastAsia="宋体" w:cs="宋体"/>
                <w:color w:val="auto"/>
                <w:kern w:val="0"/>
                <w:szCs w:val="21"/>
              </w:rPr>
            </w:pPr>
            <w:r>
              <w:rPr>
                <w:rFonts w:hint="eastAsia" w:ascii="宋体" w:hAnsi="宋体" w:eastAsia="宋体" w:cs="宋体"/>
                <w:color w:val="auto"/>
                <w:kern w:val="0"/>
                <w:szCs w:val="21"/>
              </w:rPr>
              <w:t>五</w:t>
            </w:r>
            <w:r>
              <w:rPr>
                <w:rFonts w:hint="eastAsia" w:ascii="宋体" w:hAnsi="宋体" w:eastAsia="宋体" w:cs="宋体"/>
                <w:color w:val="auto"/>
                <w:szCs w:val="21"/>
              </w:rPr>
              <w:t>、社会服务能力（</w:t>
            </w:r>
            <w:r>
              <w:rPr>
                <w:rFonts w:ascii="宋体" w:hAnsi="宋体" w:eastAsia="宋体" w:cs="宋体"/>
                <w:color w:val="auto"/>
                <w:szCs w:val="21"/>
              </w:rPr>
              <w:t>5</w:t>
            </w:r>
            <w:r>
              <w:rPr>
                <w:rFonts w:hint="eastAsia" w:ascii="宋体" w:hAnsi="宋体" w:eastAsia="宋体" w:cs="宋体"/>
                <w:color w:val="auto"/>
                <w:szCs w:val="21"/>
              </w:rPr>
              <w:t>分）</w:t>
            </w:r>
          </w:p>
        </w:tc>
        <w:tc>
          <w:tcPr>
            <w:tcW w:w="3363" w:type="dxa"/>
            <w:noWrap w:val="0"/>
            <w:vAlign w:val="center"/>
          </w:tcPr>
          <w:p>
            <w:pPr>
              <w:widowControl/>
              <w:ind w:firstLine="420" w:firstLineChars="200"/>
              <w:jc w:val="left"/>
              <w:rPr>
                <w:rFonts w:ascii="宋体" w:hAnsi="Calibri" w:eastAsia="宋体" w:cs="宋体"/>
                <w:color w:val="auto"/>
                <w:kern w:val="0"/>
                <w:szCs w:val="21"/>
              </w:rPr>
            </w:pPr>
            <w:r>
              <w:rPr>
                <w:rFonts w:hint="eastAsia" w:ascii="宋体" w:hAnsi="宋体" w:eastAsia="宋体" w:cs="宋体"/>
                <w:color w:val="auto"/>
                <w:szCs w:val="21"/>
              </w:rPr>
              <w:t>面向行业企业实际需求，开展相关生产、技术和培训服务，效果良好，服务收益高；独立或与行业企业合作开展技术应用性研究及应用推广。</w:t>
            </w:r>
          </w:p>
        </w:tc>
        <w:tc>
          <w:tcPr>
            <w:tcW w:w="875" w:type="dxa"/>
            <w:noWrap w:val="0"/>
            <w:vAlign w:val="center"/>
          </w:tcPr>
          <w:p>
            <w:pPr>
              <w:widowControl/>
              <w:ind w:left="-3" w:leftChars="-6" w:hanging="10" w:hangingChars="5"/>
              <w:jc w:val="center"/>
              <w:rPr>
                <w:rFonts w:ascii="宋体" w:hAnsi="Calibri" w:eastAsia="宋体" w:cs="宋体"/>
                <w:color w:val="auto"/>
                <w:kern w:val="0"/>
                <w:szCs w:val="21"/>
              </w:rPr>
            </w:pPr>
            <w:r>
              <w:rPr>
                <w:rFonts w:ascii="宋体" w:hAnsi="宋体" w:eastAsia="宋体" w:cs="宋体"/>
                <w:color w:val="auto"/>
                <w:kern w:val="0"/>
                <w:szCs w:val="21"/>
              </w:rPr>
              <w:t>5</w:t>
            </w:r>
            <w:r>
              <w:rPr>
                <w:rFonts w:hint="eastAsia" w:ascii="宋体" w:hAnsi="宋体" w:eastAsia="宋体" w:cs="宋体"/>
                <w:color w:val="auto"/>
                <w:kern w:val="0"/>
                <w:szCs w:val="21"/>
              </w:rPr>
              <w:t>分</w:t>
            </w:r>
          </w:p>
        </w:tc>
        <w:tc>
          <w:tcPr>
            <w:tcW w:w="3498" w:type="dxa"/>
            <w:noWrap w:val="0"/>
            <w:vAlign w:val="center"/>
          </w:tcPr>
          <w:p>
            <w:pPr>
              <w:widowControl/>
              <w:ind w:firstLine="315" w:firstLineChars="150"/>
              <w:rPr>
                <w:rFonts w:ascii="宋体" w:hAnsi="Calibri" w:eastAsia="宋体" w:cs="宋体"/>
                <w:color w:val="auto"/>
                <w:kern w:val="0"/>
                <w:szCs w:val="21"/>
              </w:rPr>
            </w:pPr>
            <w:r>
              <w:rPr>
                <w:rFonts w:hint="eastAsia" w:ascii="宋体" w:hAnsi="宋体" w:eastAsia="宋体" w:cs="宋体"/>
                <w:color w:val="auto"/>
                <w:szCs w:val="21"/>
              </w:rPr>
              <w:t>开展相关生产、技术和培训服务，效果良好，服务收益高</w:t>
            </w:r>
            <w:r>
              <w:rPr>
                <w:rFonts w:hint="eastAsia" w:ascii="宋体" w:hAnsi="宋体" w:eastAsia="宋体" w:cs="宋体"/>
                <w:color w:val="auto"/>
                <w:kern w:val="0"/>
                <w:szCs w:val="21"/>
              </w:rPr>
              <w:t>得</w:t>
            </w:r>
            <w:r>
              <w:rPr>
                <w:rFonts w:ascii="宋体" w:hAnsi="宋体" w:eastAsia="宋体" w:cs="宋体"/>
                <w:color w:val="auto"/>
                <w:kern w:val="0"/>
                <w:szCs w:val="21"/>
              </w:rPr>
              <w:t>2</w:t>
            </w:r>
            <w:r>
              <w:rPr>
                <w:rFonts w:hint="eastAsia" w:ascii="宋体" w:hAnsi="宋体" w:eastAsia="宋体" w:cs="宋体"/>
                <w:color w:val="auto"/>
                <w:kern w:val="0"/>
                <w:szCs w:val="21"/>
              </w:rPr>
              <w:t>分</w:t>
            </w:r>
          </w:p>
          <w:p>
            <w:pPr>
              <w:widowControl/>
              <w:ind w:firstLine="420" w:firstLineChars="200"/>
              <w:rPr>
                <w:rFonts w:ascii="宋体" w:hAnsi="Calibri" w:eastAsia="宋体" w:cs="宋体"/>
                <w:color w:val="auto"/>
                <w:kern w:val="0"/>
                <w:szCs w:val="21"/>
              </w:rPr>
            </w:pPr>
            <w:r>
              <w:rPr>
                <w:rFonts w:hint="eastAsia" w:ascii="宋体" w:hAnsi="宋体" w:eastAsia="宋体" w:cs="宋体"/>
                <w:color w:val="auto"/>
                <w:szCs w:val="21"/>
              </w:rPr>
              <w:t>与行业企业合作开展技术应用性研究及应用推广</w:t>
            </w:r>
            <w:r>
              <w:rPr>
                <w:rFonts w:hint="eastAsia" w:ascii="宋体" w:hAnsi="宋体" w:eastAsia="宋体" w:cs="宋体"/>
                <w:color w:val="auto"/>
                <w:kern w:val="0"/>
                <w:szCs w:val="21"/>
              </w:rPr>
              <w:t>得</w:t>
            </w:r>
            <w:r>
              <w:rPr>
                <w:rFonts w:ascii="宋体" w:hAnsi="宋体" w:eastAsia="宋体" w:cs="宋体"/>
                <w:color w:val="auto"/>
                <w:kern w:val="0"/>
                <w:szCs w:val="21"/>
              </w:rPr>
              <w:t>3</w:t>
            </w:r>
            <w:r>
              <w:rPr>
                <w:rFonts w:hint="eastAsia" w:ascii="宋体" w:hAnsi="宋体" w:eastAsia="宋体" w:cs="宋体"/>
                <w:color w:val="auto"/>
                <w:kern w:val="0"/>
                <w:szCs w:val="21"/>
              </w:rPr>
              <w:t>分</w:t>
            </w:r>
            <w:r>
              <w:rPr>
                <w:rFonts w:hint="eastAsia" w:ascii="宋体" w:hAnsi="宋体" w:eastAsia="宋体" w:cs="宋体"/>
                <w:color w:val="auto"/>
                <w:szCs w:val="21"/>
              </w:rPr>
              <w:t>。</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89" w:hRule="atLeast"/>
          <w:jc w:val="center"/>
        </w:trPr>
        <w:tc>
          <w:tcPr>
            <w:tcW w:w="1051" w:type="dxa"/>
            <w:noWrap w:val="0"/>
            <w:vAlign w:val="center"/>
          </w:tcPr>
          <w:p>
            <w:pPr>
              <w:rPr>
                <w:rFonts w:ascii="宋体" w:hAnsi="Calibri" w:eastAsia="宋体" w:cs="宋体"/>
                <w:color w:val="auto"/>
                <w:kern w:val="0"/>
                <w:szCs w:val="21"/>
              </w:rPr>
            </w:pPr>
            <w:r>
              <w:rPr>
                <w:rFonts w:hint="eastAsia" w:ascii="宋体" w:hAnsi="宋体" w:eastAsia="宋体" w:cs="宋体"/>
                <w:color w:val="auto"/>
                <w:kern w:val="0"/>
                <w:szCs w:val="21"/>
              </w:rPr>
              <w:t>六、学术团体（</w:t>
            </w:r>
            <w:r>
              <w:rPr>
                <w:rFonts w:ascii="宋体" w:hAnsi="宋体" w:eastAsia="宋体" w:cs="宋体"/>
                <w:color w:val="auto"/>
                <w:kern w:val="0"/>
                <w:szCs w:val="21"/>
              </w:rPr>
              <w:t>10</w:t>
            </w:r>
            <w:r>
              <w:rPr>
                <w:rFonts w:hint="eastAsia" w:ascii="宋体" w:hAnsi="宋体" w:eastAsia="宋体" w:cs="宋体"/>
                <w:color w:val="auto"/>
                <w:kern w:val="0"/>
                <w:szCs w:val="21"/>
              </w:rPr>
              <w:t>分）</w:t>
            </w:r>
          </w:p>
        </w:tc>
        <w:tc>
          <w:tcPr>
            <w:tcW w:w="3363" w:type="dxa"/>
            <w:noWrap w:val="0"/>
            <w:vAlign w:val="center"/>
          </w:tcPr>
          <w:p>
            <w:pPr>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担任市级及以上学术团体职务</w:t>
            </w:r>
            <w:r>
              <w:rPr>
                <w:rFonts w:ascii="宋体" w:hAnsi="宋体" w:eastAsia="宋体" w:cs="Times New Roman"/>
                <w:color w:val="auto"/>
                <w:kern w:val="0"/>
                <w:szCs w:val="21"/>
              </w:rPr>
              <w:t>1</w:t>
            </w:r>
            <w:r>
              <w:rPr>
                <w:rFonts w:hint="eastAsia" w:ascii="宋体" w:hAnsi="宋体" w:eastAsia="宋体" w:cs="宋体"/>
                <w:color w:val="auto"/>
                <w:kern w:val="0"/>
                <w:szCs w:val="21"/>
              </w:rPr>
              <w:t>项以上。</w:t>
            </w:r>
          </w:p>
          <w:p>
            <w:pPr>
              <w:ind w:firstLine="420" w:firstLineChars="200"/>
              <w:rPr>
                <w:rFonts w:ascii="宋体" w:hAnsi="Calibri" w:eastAsia="宋体" w:cs="宋体"/>
                <w:color w:val="auto"/>
                <w:kern w:val="0"/>
                <w:szCs w:val="21"/>
              </w:rPr>
            </w:pPr>
          </w:p>
        </w:tc>
        <w:tc>
          <w:tcPr>
            <w:tcW w:w="875" w:type="dxa"/>
            <w:noWrap w:val="0"/>
            <w:vAlign w:val="center"/>
          </w:tcPr>
          <w:p>
            <w:pPr>
              <w:ind w:left="-3" w:leftChars="-6" w:hanging="10" w:hangingChars="5"/>
              <w:jc w:val="center"/>
              <w:rPr>
                <w:rFonts w:ascii="宋体" w:hAnsi="Calibri" w:eastAsia="宋体" w:cs="Times New Roman"/>
                <w:color w:val="auto"/>
                <w:kern w:val="0"/>
                <w:szCs w:val="21"/>
              </w:rPr>
            </w:pPr>
            <w:r>
              <w:rPr>
                <w:rFonts w:ascii="宋体" w:hAnsi="宋体" w:eastAsia="宋体" w:cs="Times New Roman"/>
                <w:color w:val="auto"/>
                <w:kern w:val="0"/>
                <w:szCs w:val="21"/>
              </w:rPr>
              <w:t>10</w:t>
            </w:r>
            <w:r>
              <w:rPr>
                <w:rFonts w:hint="eastAsia" w:ascii="宋体" w:hAnsi="宋体" w:eastAsia="宋体" w:cs="Times New Roman"/>
                <w:color w:val="auto"/>
                <w:kern w:val="0"/>
                <w:szCs w:val="21"/>
              </w:rPr>
              <w:t>分</w:t>
            </w:r>
          </w:p>
        </w:tc>
        <w:tc>
          <w:tcPr>
            <w:tcW w:w="3498" w:type="dxa"/>
            <w:noWrap w:val="0"/>
            <w:vAlign w:val="center"/>
          </w:tcPr>
          <w:p>
            <w:pPr>
              <w:widowControl/>
              <w:ind w:firstLine="420" w:firstLineChars="200"/>
              <w:jc w:val="left"/>
              <w:rPr>
                <w:rFonts w:ascii="宋体" w:hAnsi="Calibri" w:eastAsia="宋体" w:cs="宋体"/>
                <w:color w:val="auto"/>
                <w:kern w:val="0"/>
                <w:szCs w:val="21"/>
              </w:rPr>
            </w:pPr>
            <w:r>
              <w:rPr>
                <w:rFonts w:hint="eastAsia" w:ascii="宋体" w:hAnsi="宋体" w:eastAsia="宋体" w:cs="宋体"/>
                <w:color w:val="auto"/>
                <w:kern w:val="0"/>
                <w:szCs w:val="21"/>
              </w:rPr>
              <w:t>担任市级学术团体副主任委员得</w:t>
            </w:r>
            <w:r>
              <w:rPr>
                <w:rFonts w:ascii="宋体" w:hAnsi="宋体" w:eastAsia="宋体" w:cs="宋体"/>
                <w:color w:val="auto"/>
                <w:kern w:val="0"/>
                <w:szCs w:val="21"/>
              </w:rPr>
              <w:t>1</w:t>
            </w:r>
            <w:r>
              <w:rPr>
                <w:rFonts w:hint="eastAsia" w:ascii="宋体" w:hAnsi="宋体" w:eastAsia="宋体" w:cs="宋体"/>
                <w:color w:val="auto"/>
                <w:kern w:val="0"/>
                <w:szCs w:val="21"/>
              </w:rPr>
              <w:t>分，主任委员得</w:t>
            </w:r>
            <w:r>
              <w:rPr>
                <w:rFonts w:ascii="宋体" w:hAnsi="宋体" w:eastAsia="宋体" w:cs="宋体"/>
                <w:color w:val="auto"/>
                <w:kern w:val="0"/>
                <w:szCs w:val="21"/>
              </w:rPr>
              <w:t>2</w:t>
            </w:r>
            <w:r>
              <w:rPr>
                <w:rFonts w:hint="eastAsia" w:ascii="宋体" w:hAnsi="宋体" w:eastAsia="宋体" w:cs="宋体"/>
                <w:color w:val="auto"/>
                <w:kern w:val="0"/>
                <w:szCs w:val="21"/>
              </w:rPr>
              <w:t>分，理事得</w:t>
            </w:r>
            <w:r>
              <w:rPr>
                <w:rFonts w:ascii="宋体" w:hAnsi="宋体" w:eastAsia="宋体" w:cs="宋体"/>
                <w:color w:val="auto"/>
                <w:kern w:val="0"/>
                <w:szCs w:val="21"/>
              </w:rPr>
              <w:t>3</w:t>
            </w:r>
            <w:r>
              <w:rPr>
                <w:rFonts w:hint="eastAsia" w:ascii="宋体" w:hAnsi="宋体" w:eastAsia="宋体" w:cs="宋体"/>
                <w:color w:val="auto"/>
                <w:kern w:val="0"/>
                <w:szCs w:val="21"/>
              </w:rPr>
              <w:t>分，常务理事得</w:t>
            </w:r>
            <w:r>
              <w:rPr>
                <w:rFonts w:ascii="宋体" w:hAnsi="宋体" w:eastAsia="宋体" w:cs="宋体"/>
                <w:color w:val="auto"/>
                <w:kern w:val="0"/>
                <w:szCs w:val="21"/>
              </w:rPr>
              <w:t>4</w:t>
            </w:r>
            <w:r>
              <w:rPr>
                <w:rFonts w:hint="eastAsia" w:ascii="宋体" w:hAnsi="宋体" w:eastAsia="宋体" w:cs="宋体"/>
                <w:color w:val="auto"/>
                <w:kern w:val="0"/>
                <w:szCs w:val="21"/>
              </w:rPr>
              <w:t>分，副秘书长得</w:t>
            </w:r>
            <w:r>
              <w:rPr>
                <w:rFonts w:ascii="宋体" w:hAnsi="宋体" w:eastAsia="宋体" w:cs="宋体"/>
                <w:color w:val="auto"/>
                <w:kern w:val="0"/>
                <w:szCs w:val="21"/>
              </w:rPr>
              <w:t>4.5</w:t>
            </w:r>
            <w:r>
              <w:rPr>
                <w:rFonts w:hint="eastAsia" w:ascii="宋体" w:hAnsi="宋体" w:eastAsia="宋体" w:cs="宋体"/>
                <w:color w:val="auto"/>
                <w:kern w:val="0"/>
                <w:szCs w:val="21"/>
              </w:rPr>
              <w:t>分，秘书长得</w:t>
            </w:r>
            <w:r>
              <w:rPr>
                <w:rFonts w:ascii="宋体" w:hAnsi="宋体" w:eastAsia="宋体" w:cs="宋体"/>
                <w:color w:val="auto"/>
                <w:kern w:val="0"/>
                <w:szCs w:val="21"/>
              </w:rPr>
              <w:t>5</w:t>
            </w:r>
            <w:r>
              <w:rPr>
                <w:rFonts w:hint="eastAsia" w:ascii="宋体" w:hAnsi="宋体" w:eastAsia="宋体" w:cs="宋体"/>
                <w:color w:val="auto"/>
                <w:kern w:val="0"/>
                <w:szCs w:val="21"/>
              </w:rPr>
              <w:t>分，副会长得</w:t>
            </w:r>
            <w:r>
              <w:rPr>
                <w:rFonts w:ascii="宋体" w:hAnsi="宋体" w:eastAsia="宋体" w:cs="宋体"/>
                <w:color w:val="auto"/>
                <w:kern w:val="0"/>
                <w:szCs w:val="21"/>
              </w:rPr>
              <w:t>5.5</w:t>
            </w:r>
            <w:r>
              <w:rPr>
                <w:rFonts w:hint="eastAsia" w:ascii="宋体" w:hAnsi="宋体" w:eastAsia="宋体" w:cs="宋体"/>
                <w:color w:val="auto"/>
                <w:kern w:val="0"/>
                <w:szCs w:val="21"/>
              </w:rPr>
              <w:t>分，会长得</w:t>
            </w:r>
            <w:r>
              <w:rPr>
                <w:rFonts w:ascii="宋体" w:hAnsi="宋体" w:eastAsia="宋体" w:cs="宋体"/>
                <w:color w:val="auto"/>
                <w:kern w:val="0"/>
                <w:szCs w:val="21"/>
              </w:rPr>
              <w:t>6</w:t>
            </w:r>
            <w:r>
              <w:rPr>
                <w:rFonts w:hint="eastAsia" w:ascii="宋体" w:hAnsi="宋体" w:eastAsia="宋体" w:cs="宋体"/>
                <w:color w:val="auto"/>
                <w:kern w:val="0"/>
                <w:szCs w:val="21"/>
              </w:rPr>
              <w:t>分；担任省级学术团体副主任委员得</w:t>
            </w:r>
            <w:r>
              <w:rPr>
                <w:rFonts w:ascii="宋体" w:hAnsi="宋体" w:eastAsia="宋体" w:cs="宋体"/>
                <w:color w:val="auto"/>
                <w:kern w:val="0"/>
                <w:szCs w:val="21"/>
              </w:rPr>
              <w:t>4</w:t>
            </w:r>
            <w:r>
              <w:rPr>
                <w:rFonts w:hint="eastAsia" w:ascii="宋体" w:hAnsi="宋体" w:eastAsia="宋体" w:cs="宋体"/>
                <w:color w:val="auto"/>
                <w:kern w:val="0"/>
                <w:szCs w:val="21"/>
              </w:rPr>
              <w:t>分，主任委员得</w:t>
            </w:r>
            <w:r>
              <w:rPr>
                <w:rFonts w:ascii="宋体" w:hAnsi="宋体" w:eastAsia="宋体" w:cs="宋体"/>
                <w:color w:val="auto"/>
                <w:kern w:val="0"/>
                <w:szCs w:val="21"/>
              </w:rPr>
              <w:t>5</w:t>
            </w:r>
            <w:r>
              <w:rPr>
                <w:rFonts w:hint="eastAsia" w:ascii="宋体" w:hAnsi="宋体" w:eastAsia="宋体" w:cs="宋体"/>
                <w:color w:val="auto"/>
                <w:kern w:val="0"/>
                <w:szCs w:val="21"/>
              </w:rPr>
              <w:t>份，理事得</w:t>
            </w:r>
            <w:r>
              <w:rPr>
                <w:rFonts w:ascii="宋体" w:hAnsi="宋体" w:eastAsia="宋体" w:cs="宋体"/>
                <w:color w:val="auto"/>
                <w:kern w:val="0"/>
                <w:szCs w:val="21"/>
              </w:rPr>
              <w:t>6</w:t>
            </w:r>
            <w:r>
              <w:rPr>
                <w:rFonts w:hint="eastAsia" w:ascii="宋体" w:hAnsi="宋体" w:eastAsia="宋体" w:cs="宋体"/>
                <w:color w:val="auto"/>
                <w:kern w:val="0"/>
                <w:szCs w:val="21"/>
              </w:rPr>
              <w:t>分，常务理事得</w:t>
            </w:r>
            <w:r>
              <w:rPr>
                <w:rFonts w:ascii="宋体" w:hAnsi="宋体" w:eastAsia="宋体" w:cs="宋体"/>
                <w:color w:val="auto"/>
                <w:kern w:val="0"/>
                <w:szCs w:val="21"/>
              </w:rPr>
              <w:t>7</w:t>
            </w:r>
            <w:r>
              <w:rPr>
                <w:rFonts w:hint="eastAsia" w:ascii="宋体" w:hAnsi="宋体" w:eastAsia="宋体" w:cs="宋体"/>
                <w:color w:val="auto"/>
                <w:kern w:val="0"/>
                <w:szCs w:val="21"/>
              </w:rPr>
              <w:t>分；担任县级学术团体职务得</w:t>
            </w:r>
            <w:r>
              <w:rPr>
                <w:rFonts w:ascii="宋体" w:hAnsi="宋体" w:eastAsia="宋体" w:cs="Times New Roman"/>
                <w:color w:val="auto"/>
                <w:kern w:val="0"/>
                <w:szCs w:val="21"/>
              </w:rPr>
              <w:t>3</w:t>
            </w:r>
            <w:r>
              <w:rPr>
                <w:rFonts w:hint="eastAsia" w:ascii="宋体" w:hAnsi="宋体" w:eastAsia="宋体" w:cs="宋体"/>
                <w:color w:val="auto"/>
                <w:kern w:val="0"/>
                <w:szCs w:val="21"/>
              </w:rPr>
              <w:t>分。</w:t>
            </w:r>
          </w:p>
          <w:p>
            <w:pPr>
              <w:widowControl/>
              <w:ind w:firstLine="420" w:firstLineChars="200"/>
              <w:jc w:val="left"/>
              <w:rPr>
                <w:rFonts w:ascii="宋体" w:hAnsi="Calibri" w:eastAsia="宋体" w:cs="宋体"/>
                <w:color w:val="auto"/>
                <w:kern w:val="0"/>
                <w:szCs w:val="21"/>
              </w:rPr>
            </w:pPr>
            <w:r>
              <w:rPr>
                <w:rFonts w:hint="eastAsia" w:ascii="宋体" w:hAnsi="宋体" w:eastAsia="宋体" w:cs="宋体"/>
                <w:color w:val="auto"/>
                <w:kern w:val="0"/>
                <w:szCs w:val="21"/>
              </w:rPr>
              <w:t>累计总分不超过</w:t>
            </w:r>
            <w:r>
              <w:rPr>
                <w:rFonts w:ascii="宋体" w:hAnsi="宋体" w:eastAsia="宋体" w:cs="宋体"/>
                <w:color w:val="auto"/>
                <w:kern w:val="0"/>
                <w:szCs w:val="21"/>
              </w:rPr>
              <w:t>10</w:t>
            </w:r>
            <w:r>
              <w:rPr>
                <w:rFonts w:hint="eastAsia" w:ascii="宋体" w:hAnsi="宋体" w:eastAsia="宋体" w:cs="宋体"/>
                <w:color w:val="auto"/>
                <w:kern w:val="0"/>
                <w:szCs w:val="21"/>
              </w:rPr>
              <w:t>分。</w:t>
            </w:r>
          </w:p>
        </w:tc>
        <w:tc>
          <w:tcPr>
            <w:tcW w:w="1093" w:type="dxa"/>
            <w:noWrap w:val="0"/>
            <w:vAlign w:val="center"/>
          </w:tcPr>
          <w:p>
            <w:pPr>
              <w:ind w:firstLine="480" w:firstLineChars="200"/>
              <w:jc w:val="center"/>
              <w:rPr>
                <w:rFonts w:ascii="宋体" w:hAnsi="Calibri" w:eastAsia="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8" w:hRule="atLeast"/>
          <w:jc w:val="center"/>
        </w:trPr>
        <w:tc>
          <w:tcPr>
            <w:tcW w:w="1051" w:type="dxa"/>
            <w:noWrap w:val="0"/>
            <w:vAlign w:val="center"/>
          </w:tcPr>
          <w:p>
            <w:pPr>
              <w:widowControl/>
              <w:rPr>
                <w:rFonts w:ascii="宋体" w:hAnsi="Calibri" w:eastAsia="宋体" w:cs="宋体"/>
                <w:color w:val="auto"/>
                <w:kern w:val="0"/>
                <w:szCs w:val="21"/>
              </w:rPr>
            </w:pPr>
            <w:r>
              <w:rPr>
                <w:rFonts w:hint="eastAsia" w:ascii="宋体" w:hAnsi="宋体" w:eastAsia="宋体" w:cs="宋体"/>
                <w:color w:val="auto"/>
                <w:kern w:val="0"/>
                <w:szCs w:val="21"/>
              </w:rPr>
              <w:t>七、其他情况（</w:t>
            </w:r>
            <w:r>
              <w:rPr>
                <w:rFonts w:ascii="宋体" w:hAnsi="宋体" w:eastAsia="宋体" w:cs="宋体"/>
                <w:color w:val="auto"/>
                <w:kern w:val="0"/>
                <w:szCs w:val="21"/>
              </w:rPr>
              <w:t>10</w:t>
            </w:r>
            <w:r>
              <w:rPr>
                <w:rFonts w:hint="eastAsia" w:ascii="宋体" w:hAnsi="宋体" w:eastAsia="宋体" w:cs="宋体"/>
                <w:color w:val="auto"/>
                <w:kern w:val="0"/>
                <w:szCs w:val="21"/>
              </w:rPr>
              <w:t>分）</w:t>
            </w:r>
          </w:p>
        </w:tc>
        <w:tc>
          <w:tcPr>
            <w:tcW w:w="3363"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获市级主管部门及以上的荣誉称号或表彰</w:t>
            </w:r>
            <w:r>
              <w:rPr>
                <w:rFonts w:ascii="宋体" w:hAnsi="宋体" w:eastAsia="宋体" w:cs="Times New Roman"/>
                <w:color w:val="auto"/>
                <w:kern w:val="0"/>
                <w:szCs w:val="21"/>
              </w:rPr>
              <w:t>1</w:t>
            </w:r>
            <w:r>
              <w:rPr>
                <w:rFonts w:hint="eastAsia" w:ascii="宋体" w:hAnsi="宋体" w:eastAsia="宋体" w:cs="宋体"/>
                <w:color w:val="auto"/>
                <w:kern w:val="0"/>
                <w:szCs w:val="21"/>
              </w:rPr>
              <w:t>项以上。</w:t>
            </w:r>
          </w:p>
        </w:tc>
        <w:tc>
          <w:tcPr>
            <w:tcW w:w="875" w:type="dxa"/>
            <w:noWrap w:val="0"/>
            <w:vAlign w:val="center"/>
          </w:tcPr>
          <w:p>
            <w:pPr>
              <w:widowControl/>
              <w:ind w:left="-90" w:leftChars="-43" w:right="-97" w:rightChars="-46"/>
              <w:jc w:val="center"/>
              <w:rPr>
                <w:rFonts w:ascii="宋体" w:hAnsi="Calibri" w:eastAsia="宋体" w:cs="Times New Roman"/>
                <w:color w:val="auto"/>
                <w:kern w:val="0"/>
                <w:szCs w:val="21"/>
              </w:rPr>
            </w:pPr>
            <w:r>
              <w:rPr>
                <w:rFonts w:ascii="宋体" w:hAnsi="宋体" w:eastAsia="宋体" w:cs="Times New Roman"/>
                <w:color w:val="auto"/>
                <w:kern w:val="0"/>
                <w:szCs w:val="21"/>
              </w:rPr>
              <w:t>10</w:t>
            </w:r>
            <w:r>
              <w:rPr>
                <w:rFonts w:hint="eastAsia" w:ascii="宋体" w:hAnsi="宋体" w:eastAsia="宋体" w:cs="Times New Roman"/>
                <w:color w:val="auto"/>
                <w:kern w:val="0"/>
                <w:szCs w:val="21"/>
              </w:rPr>
              <w:t>分</w:t>
            </w:r>
          </w:p>
        </w:tc>
        <w:tc>
          <w:tcPr>
            <w:tcW w:w="3498" w:type="dxa"/>
            <w:noWrap w:val="0"/>
            <w:vAlign w:val="center"/>
          </w:tcPr>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获市级荣誉称号或表彰得</w:t>
            </w:r>
            <w:r>
              <w:rPr>
                <w:rFonts w:ascii="宋体" w:hAnsi="宋体" w:eastAsia="宋体" w:cs="Times New Roman"/>
                <w:color w:val="auto"/>
                <w:kern w:val="0"/>
                <w:szCs w:val="21"/>
              </w:rPr>
              <w:t>2</w:t>
            </w:r>
            <w:r>
              <w:rPr>
                <w:rFonts w:hint="eastAsia" w:ascii="宋体" w:hAnsi="宋体" w:eastAsia="宋体" w:cs="宋体"/>
                <w:color w:val="auto"/>
                <w:kern w:val="0"/>
                <w:szCs w:val="21"/>
              </w:rPr>
              <w:t>分，省级得</w:t>
            </w:r>
            <w:r>
              <w:rPr>
                <w:rFonts w:ascii="宋体" w:hAnsi="宋体" w:eastAsia="宋体" w:cs="Times New Roman"/>
                <w:color w:val="auto"/>
                <w:kern w:val="0"/>
                <w:szCs w:val="21"/>
              </w:rPr>
              <w:t>8</w:t>
            </w:r>
            <w:r>
              <w:rPr>
                <w:rFonts w:hint="eastAsia" w:ascii="宋体" w:hAnsi="宋体" w:eastAsia="宋体" w:cs="宋体"/>
                <w:color w:val="auto"/>
                <w:kern w:val="0"/>
                <w:szCs w:val="21"/>
              </w:rPr>
              <w:t>分，国家级得</w:t>
            </w:r>
            <w:r>
              <w:rPr>
                <w:rFonts w:ascii="宋体" w:hAnsi="宋体" w:eastAsia="宋体" w:cs="宋体"/>
                <w:color w:val="auto"/>
                <w:kern w:val="0"/>
                <w:szCs w:val="21"/>
              </w:rPr>
              <w:t>10</w:t>
            </w:r>
            <w:r>
              <w:rPr>
                <w:rFonts w:hint="eastAsia" w:ascii="宋体" w:hAnsi="宋体" w:eastAsia="宋体" w:cs="宋体"/>
                <w:color w:val="auto"/>
                <w:kern w:val="0"/>
                <w:szCs w:val="21"/>
              </w:rPr>
              <w:t>分。</w:t>
            </w:r>
          </w:p>
          <w:p>
            <w:pPr>
              <w:widowControl/>
              <w:ind w:firstLine="420" w:firstLineChars="200"/>
              <w:rPr>
                <w:rFonts w:ascii="宋体" w:hAnsi="Calibri" w:eastAsia="宋体" w:cs="宋体"/>
                <w:color w:val="auto"/>
                <w:kern w:val="0"/>
                <w:szCs w:val="21"/>
              </w:rPr>
            </w:pPr>
            <w:r>
              <w:rPr>
                <w:rFonts w:hint="eastAsia" w:ascii="宋体" w:hAnsi="宋体" w:eastAsia="宋体" w:cs="宋体"/>
                <w:color w:val="auto"/>
                <w:kern w:val="0"/>
                <w:szCs w:val="21"/>
              </w:rPr>
              <w:t>累计总分不超过</w:t>
            </w:r>
            <w:r>
              <w:rPr>
                <w:rFonts w:ascii="宋体" w:hAnsi="宋体" w:eastAsia="宋体" w:cs="Times New Roman"/>
                <w:color w:val="auto"/>
                <w:kern w:val="0"/>
                <w:szCs w:val="21"/>
              </w:rPr>
              <w:t>10</w:t>
            </w:r>
            <w:r>
              <w:rPr>
                <w:rFonts w:hint="eastAsia" w:ascii="宋体" w:hAnsi="宋体" w:eastAsia="宋体" w:cs="宋体"/>
                <w:color w:val="auto"/>
                <w:kern w:val="0"/>
                <w:szCs w:val="21"/>
              </w:rPr>
              <w:t>分。</w:t>
            </w:r>
          </w:p>
        </w:tc>
        <w:tc>
          <w:tcPr>
            <w:tcW w:w="1093" w:type="dxa"/>
            <w:noWrap w:val="0"/>
            <w:vAlign w:val="center"/>
          </w:tcPr>
          <w:p>
            <w:pPr>
              <w:widowControl/>
              <w:ind w:firstLine="480" w:firstLineChars="200"/>
              <w:jc w:val="center"/>
              <w:rPr>
                <w:rFonts w:ascii="宋体" w:hAnsi="Calibri" w:eastAsia="宋体" w:cs="宋体"/>
                <w:color w:val="auto"/>
                <w:kern w:val="0"/>
                <w:sz w:val="24"/>
                <w:szCs w:val="24"/>
              </w:rPr>
            </w:pPr>
          </w:p>
        </w:tc>
      </w:tr>
    </w:tbl>
    <w:p>
      <w:pPr>
        <w:spacing w:line="360" w:lineRule="auto"/>
        <w:rPr>
          <w:rFonts w:ascii="宋体" w:hAnsi="Calibri" w:eastAsia="宋体" w:cs="Times New Roman"/>
          <w:color w:val="auto"/>
          <w:sz w:val="24"/>
          <w:szCs w:val="24"/>
        </w:rPr>
      </w:pPr>
    </w:p>
    <w:p>
      <w:pPr>
        <w:pStyle w:val="3"/>
        <w:bidi w:val="0"/>
        <w:jc w:val="center"/>
        <w:rPr>
          <w:color w:val="auto"/>
        </w:rPr>
      </w:pPr>
      <w:bookmarkStart w:id="54" w:name="_Toc11835"/>
      <w:r>
        <w:rPr>
          <w:rFonts w:hint="eastAsia"/>
          <w:color w:val="auto"/>
        </w:rPr>
        <w:t>教学团队建设制度</w:t>
      </w:r>
      <w:bookmarkEnd w:id="54"/>
    </w:p>
    <w:p>
      <w:pPr>
        <w:widowControl/>
        <w:spacing w:line="360" w:lineRule="auto"/>
        <w:ind w:firstLine="480" w:firstLineChars="200"/>
        <w:jc w:val="left"/>
        <w:rPr>
          <w:rFonts w:ascii="宋体" w:hAnsi="Calibri" w:eastAsia="宋体" w:cs="Arial"/>
          <w:color w:val="auto"/>
          <w:sz w:val="24"/>
          <w:szCs w:val="24"/>
          <w:shd w:val="clear" w:color="auto" w:fill="FFFFFF"/>
        </w:rPr>
      </w:pP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Arial"/>
          <w:color w:val="auto"/>
          <w:sz w:val="24"/>
          <w:szCs w:val="24"/>
          <w:shd w:val="clear" w:color="auto" w:fill="FFFFFF"/>
        </w:rPr>
        <w:t>为了进一步加强基层教学组织建设，整合课程资源与教师队伍，深化课程体</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和教学内容改革，促进课程建设，提高教学质量，</w:t>
      </w:r>
      <w:r>
        <w:rPr>
          <w:rFonts w:hint="eastAsia" w:ascii="宋体" w:hAnsi="宋体" w:eastAsia="宋体" w:cs="宋体"/>
          <w:color w:val="auto"/>
          <w:kern w:val="0"/>
          <w:sz w:val="24"/>
          <w:szCs w:val="24"/>
        </w:rPr>
        <w:t>特制订本办法。</w:t>
      </w:r>
    </w:p>
    <w:p>
      <w:pPr>
        <w:widowControl/>
        <w:spacing w:line="360" w:lineRule="auto"/>
        <w:ind w:firstLine="482" w:firstLineChars="200"/>
        <w:rPr>
          <w:rFonts w:ascii="宋体" w:hAnsi="Calibri" w:eastAsia="宋体" w:cs="宋体"/>
          <w:b/>
          <w:color w:val="auto"/>
          <w:kern w:val="0"/>
          <w:sz w:val="24"/>
          <w:szCs w:val="24"/>
        </w:rPr>
      </w:pPr>
      <w:r>
        <w:rPr>
          <w:rFonts w:hint="eastAsia" w:ascii="宋体" w:hAnsi="宋体" w:eastAsia="宋体" w:cs="宋体"/>
          <w:b/>
          <w:bCs/>
          <w:color w:val="auto"/>
          <w:kern w:val="0"/>
          <w:sz w:val="24"/>
          <w:szCs w:val="24"/>
        </w:rPr>
        <w:t>一、</w:t>
      </w:r>
      <w:r>
        <w:rPr>
          <w:rFonts w:ascii="宋体" w:hAnsi="宋体" w:eastAsia="宋体" w:cs="宋体"/>
          <w:b/>
          <w:bCs/>
          <w:color w:val="auto"/>
          <w:kern w:val="0"/>
          <w:sz w:val="24"/>
          <w:szCs w:val="24"/>
        </w:rPr>
        <w:t xml:space="preserve"> </w:t>
      </w:r>
      <w:r>
        <w:rPr>
          <w:rFonts w:hint="eastAsia" w:ascii="宋体" w:hAnsi="宋体" w:eastAsia="宋体" w:cs="宋体"/>
          <w:b/>
          <w:bCs/>
          <w:color w:val="auto"/>
          <w:kern w:val="0"/>
          <w:sz w:val="24"/>
          <w:szCs w:val="24"/>
        </w:rPr>
        <w:t>教学团队及其任务</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教学团队是在学院、</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的领导和管理下，主要针对学院专业必修主干课程，根据课程教学上的共同需要而建立起来的教学活动组织。</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教学团队的任务主要有：</w:t>
      </w:r>
    </w:p>
    <w:p>
      <w:pPr>
        <w:widowControl/>
        <w:spacing w:line="360" w:lineRule="auto"/>
        <w:ind w:firstLine="480" w:firstLineChars="200"/>
        <w:jc w:val="left"/>
        <w:rPr>
          <w:rFonts w:ascii="宋体" w:hAnsi="Calibri" w:eastAsia="宋体" w:cs="Arial"/>
          <w:color w:val="auto"/>
          <w:sz w:val="24"/>
          <w:szCs w:val="24"/>
          <w:shd w:val="clear" w:color="auto" w:fill="FFFFFF"/>
        </w:rPr>
      </w:pPr>
      <w:r>
        <w:rPr>
          <w:rFonts w:hint="eastAsia" w:ascii="宋体" w:hAnsi="宋体" w:eastAsia="宋体" w:cs="Arial"/>
          <w:color w:val="auto"/>
          <w:sz w:val="24"/>
          <w:szCs w:val="24"/>
          <w:shd w:val="clear" w:color="auto" w:fill="FFFFFF"/>
        </w:rPr>
        <w:t>（一）承担教学工作，规范教学过程。修订完善</w:t>
      </w:r>
      <w:r>
        <w:rPr>
          <w:rFonts w:hint="eastAsia" w:ascii="宋体" w:hAnsi="宋体" w:eastAsia="宋体" w:cs="Arial"/>
          <w:color w:val="auto"/>
          <w:sz w:val="24"/>
          <w:szCs w:val="24"/>
          <w:shd w:val="clear" w:color="auto" w:fill="FFFFFF"/>
          <w:lang w:eastAsia="zh-CN"/>
        </w:rPr>
        <w:t xml:space="preserve"> 课程标准</w:t>
      </w:r>
      <w:r>
        <w:rPr>
          <w:rFonts w:hint="eastAsia" w:ascii="宋体" w:hAnsi="宋体" w:eastAsia="宋体" w:cs="Arial"/>
          <w:color w:val="auto"/>
          <w:sz w:val="24"/>
          <w:szCs w:val="24"/>
          <w:shd w:val="clear" w:color="auto" w:fill="FFFFFF"/>
        </w:rPr>
        <w:t>、教学</w:t>
      </w:r>
      <w:r>
        <w:rPr>
          <w:rFonts w:ascii="宋体" w:hAnsi="宋体" w:eastAsia="宋体" w:cs="Arial"/>
          <w:color w:val="auto"/>
          <w:sz w:val="24"/>
          <w:szCs w:val="24"/>
          <w:shd w:val="clear" w:color="auto" w:fill="FFFFFF"/>
        </w:rPr>
        <w:t>PPT</w:t>
      </w:r>
      <w:r>
        <w:rPr>
          <w:rFonts w:hint="eastAsia" w:ascii="宋体" w:hAnsi="宋体" w:eastAsia="宋体" w:cs="Arial"/>
          <w:color w:val="auto"/>
          <w:sz w:val="24"/>
          <w:szCs w:val="24"/>
          <w:shd w:val="clear" w:color="auto" w:fill="FFFFFF"/>
        </w:rPr>
        <w:t>，组织相互听课和教学经验交流。</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（二）负责课程基本建设。进行教材、教辅资料、课件、题库、网站等多种形式的教学资源建设，不断更新教学内容，改进教学方法与手段。</w:t>
      </w:r>
    </w:p>
    <w:p>
      <w:pPr>
        <w:widowControl/>
        <w:spacing w:line="360" w:lineRule="auto"/>
        <w:ind w:firstLine="480" w:firstLineChars="200"/>
        <w:jc w:val="left"/>
        <w:rPr>
          <w:rFonts w:ascii="宋体" w:hAnsi="Calibri" w:eastAsia="宋体" w:cs="Arial"/>
          <w:color w:val="auto"/>
          <w:sz w:val="24"/>
          <w:szCs w:val="24"/>
          <w:shd w:val="clear" w:color="auto" w:fill="FFFFFF"/>
        </w:rPr>
      </w:pPr>
      <w:r>
        <w:rPr>
          <w:rFonts w:hint="eastAsia" w:ascii="宋体" w:hAnsi="宋体" w:eastAsia="宋体" w:cs="Arial"/>
          <w:color w:val="auto"/>
          <w:sz w:val="24"/>
          <w:szCs w:val="24"/>
          <w:shd w:val="clear" w:color="auto" w:fill="FFFFFF"/>
        </w:rPr>
        <w:t>（三）开展教学研究与改革。积极开展各类教学研究与改革，积极申报各类课程建设项目、教学研究项目、教学成果奖和各级教学名师（校级、省级和国家级），组织集中教学研讨活动。</w:t>
      </w:r>
    </w:p>
    <w:p>
      <w:pPr>
        <w:widowControl/>
        <w:spacing w:line="360" w:lineRule="auto"/>
        <w:ind w:firstLine="482" w:firstLineChars="200"/>
        <w:rPr>
          <w:rFonts w:ascii="宋体" w:hAnsi="Calibri" w:eastAsia="宋体" w:cs="宋体"/>
          <w:b/>
          <w:bCs/>
          <w:color w:val="auto"/>
          <w:kern w:val="0"/>
          <w:sz w:val="24"/>
          <w:szCs w:val="24"/>
        </w:rPr>
      </w:pPr>
      <w:r>
        <w:rPr>
          <w:rFonts w:hint="eastAsia" w:ascii="宋体" w:hAnsi="宋体" w:eastAsia="宋体" w:cs="Arial"/>
          <w:b/>
          <w:color w:val="auto"/>
          <w:sz w:val="24"/>
          <w:szCs w:val="24"/>
          <w:shd w:val="clear" w:color="auto" w:fill="FFFFFF"/>
        </w:rPr>
        <w:t>二、</w:t>
      </w:r>
      <w:r>
        <w:rPr>
          <w:rFonts w:ascii="宋体" w:hAnsi="宋体" w:eastAsia="宋体" w:cs="Arial"/>
          <w:b/>
          <w:color w:val="auto"/>
          <w:sz w:val="24"/>
          <w:szCs w:val="24"/>
          <w:shd w:val="clear" w:color="auto" w:fill="FFFFFF"/>
        </w:rPr>
        <w:t xml:space="preserve"> </w:t>
      </w:r>
      <w:r>
        <w:rPr>
          <w:rFonts w:hint="eastAsia" w:ascii="宋体" w:hAnsi="宋体" w:eastAsia="宋体" w:cs="Arial"/>
          <w:b/>
          <w:color w:val="auto"/>
          <w:sz w:val="24"/>
          <w:szCs w:val="24"/>
          <w:shd w:val="clear" w:color="auto" w:fill="FFFFFF"/>
        </w:rPr>
        <w:t>教学团队设置</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Arial"/>
          <w:color w:val="auto"/>
          <w:sz w:val="24"/>
          <w:szCs w:val="24"/>
          <w:shd w:val="clear" w:color="auto" w:fill="FFFFFF"/>
        </w:rPr>
        <w:t>教学团队应</w:t>
      </w:r>
      <w:r>
        <w:rPr>
          <w:rFonts w:hint="eastAsia" w:ascii="宋体" w:hAnsi="宋体" w:eastAsia="宋体" w:cs="宋体"/>
          <w:color w:val="auto"/>
          <w:kern w:val="0"/>
          <w:sz w:val="24"/>
          <w:szCs w:val="24"/>
        </w:rPr>
        <w:t>具有合理的专业、职称、学历、年龄结构，团队规模适度、成员相对稳定，学院内专任教师一般不少于</w:t>
      </w:r>
      <w:r>
        <w:rPr>
          <w:rFonts w:ascii="宋体" w:hAnsi="宋体" w:eastAsia="宋体" w:cs="宋体"/>
          <w:color w:val="auto"/>
          <w:kern w:val="0"/>
          <w:sz w:val="24"/>
          <w:szCs w:val="24"/>
        </w:rPr>
        <w:t>3</w:t>
      </w:r>
      <w:r>
        <w:rPr>
          <w:rFonts w:hint="eastAsia" w:ascii="宋体" w:hAnsi="宋体" w:eastAsia="宋体" w:cs="宋体"/>
          <w:color w:val="auto"/>
          <w:kern w:val="0"/>
          <w:sz w:val="24"/>
          <w:szCs w:val="24"/>
        </w:rPr>
        <w:t>人，最多</w:t>
      </w:r>
      <w:r>
        <w:rPr>
          <w:rFonts w:ascii="宋体" w:hAnsi="宋体" w:eastAsia="宋体" w:cs="宋体"/>
          <w:color w:val="auto"/>
          <w:kern w:val="0"/>
          <w:sz w:val="24"/>
          <w:szCs w:val="24"/>
        </w:rPr>
        <w:t>8</w:t>
      </w:r>
      <w:r>
        <w:rPr>
          <w:rFonts w:hint="eastAsia" w:ascii="宋体" w:hAnsi="宋体" w:eastAsia="宋体" w:cs="宋体"/>
          <w:color w:val="auto"/>
          <w:kern w:val="0"/>
          <w:sz w:val="24"/>
          <w:szCs w:val="24"/>
        </w:rPr>
        <w:t>人，可根据实际需求聘任一定数量的来自行业、企业的兼职教师。教学团队设置一般</w:t>
      </w:r>
      <w:r>
        <w:rPr>
          <w:rFonts w:ascii="宋体" w:hAnsi="宋体" w:eastAsia="宋体" w:cs="宋体"/>
          <w:color w:val="auto"/>
          <w:kern w:val="0"/>
          <w:sz w:val="24"/>
          <w:szCs w:val="24"/>
        </w:rPr>
        <w:t>3</w:t>
      </w:r>
      <w:r>
        <w:rPr>
          <w:rFonts w:hint="eastAsia" w:ascii="宋体" w:hAnsi="宋体" w:eastAsia="宋体" w:cs="宋体"/>
          <w:color w:val="auto"/>
          <w:kern w:val="0"/>
          <w:sz w:val="24"/>
          <w:szCs w:val="24"/>
        </w:rPr>
        <w:t>年一次。</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教学团队设置原则如下：</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（一）教学团队由</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根据学科专业特点、课程体</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和教学工作需要进行申报，学院组织专家评审确定。</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（二）教学团队设置一般从专业主干必修课开始，逐步向其他课程实施，分期分批进行。</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（三）不同</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开设的同一门课程应组建跨</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的教学团队。</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Arial"/>
          <w:color w:val="auto"/>
          <w:sz w:val="24"/>
          <w:szCs w:val="24"/>
          <w:shd w:val="clear" w:color="auto" w:fill="FFFFFF"/>
        </w:rPr>
        <w:t>（四）内容相关和相近的多门课程可组成一个教学团队。</w:t>
      </w:r>
    </w:p>
    <w:p>
      <w:pPr>
        <w:widowControl/>
        <w:spacing w:line="360" w:lineRule="auto"/>
        <w:ind w:firstLine="482" w:firstLineChars="200"/>
        <w:rPr>
          <w:rFonts w:ascii="宋体" w:hAnsi="Calibri" w:eastAsia="宋体" w:cs="Arial"/>
          <w:b/>
          <w:color w:val="auto"/>
          <w:sz w:val="24"/>
          <w:szCs w:val="24"/>
          <w:shd w:val="clear" w:color="auto" w:fill="FFFFFF"/>
        </w:rPr>
      </w:pPr>
      <w:r>
        <w:rPr>
          <w:rFonts w:hint="eastAsia" w:ascii="宋体" w:hAnsi="宋体" w:eastAsia="宋体" w:cs="Arial"/>
          <w:b/>
          <w:color w:val="auto"/>
          <w:sz w:val="24"/>
          <w:szCs w:val="24"/>
          <w:shd w:val="clear" w:color="auto" w:fill="FFFFFF"/>
        </w:rPr>
        <w:t>三</w:t>
      </w:r>
      <w:r>
        <w:rPr>
          <w:rFonts w:ascii="宋体" w:hAnsi="宋体" w:eastAsia="宋体" w:cs="Arial"/>
          <w:b/>
          <w:color w:val="auto"/>
          <w:sz w:val="24"/>
          <w:szCs w:val="24"/>
          <w:shd w:val="clear" w:color="auto" w:fill="FFFFFF"/>
        </w:rPr>
        <w:t xml:space="preserve"> </w:t>
      </w:r>
      <w:r>
        <w:rPr>
          <w:rFonts w:hint="eastAsia" w:ascii="宋体" w:hAnsi="宋体" w:eastAsia="宋体" w:cs="Arial"/>
          <w:b/>
          <w:color w:val="auto"/>
          <w:sz w:val="24"/>
          <w:szCs w:val="24"/>
          <w:shd w:val="clear" w:color="auto" w:fill="FFFFFF"/>
        </w:rPr>
        <w:t>、教学团队负责人</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教学团队负责人（主任）聘任条件如下：</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（一）具有良好的师德师风，热爱教学工作。</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（二）原则上具有副高级职称以上，近两年来每年至少承担</w:t>
      </w:r>
      <w:r>
        <w:rPr>
          <w:rFonts w:ascii="宋体" w:hAnsi="宋体" w:eastAsia="宋体" w:cs="Arial"/>
          <w:color w:val="auto"/>
          <w:sz w:val="24"/>
          <w:szCs w:val="24"/>
          <w:shd w:val="clear" w:color="auto" w:fill="FFFFFF"/>
        </w:rPr>
        <w:t>1</w:t>
      </w:r>
      <w:r>
        <w:rPr>
          <w:rFonts w:hint="eastAsia" w:ascii="宋体" w:hAnsi="宋体" w:eastAsia="宋体" w:cs="Arial"/>
          <w:color w:val="auto"/>
          <w:sz w:val="24"/>
          <w:szCs w:val="24"/>
          <w:shd w:val="clear" w:color="auto" w:fill="FFFFFF"/>
        </w:rPr>
        <w:t>门本专业课程教学，教学效果好，教学工作成绩突出。</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（三）具有开展课程建设和教学研究工作的经验，有一定的组织协调能力和奉献精神。</w:t>
      </w:r>
    </w:p>
    <w:p>
      <w:pPr>
        <w:widowControl/>
        <w:spacing w:line="360" w:lineRule="auto"/>
        <w:ind w:firstLine="480" w:firstLineChars="200"/>
        <w:jc w:val="left"/>
        <w:rPr>
          <w:rFonts w:ascii="宋体" w:hAnsi="Calibri" w:eastAsia="宋体" w:cs="Arial"/>
          <w:color w:val="auto"/>
          <w:sz w:val="24"/>
          <w:szCs w:val="24"/>
          <w:shd w:val="clear" w:color="auto" w:fill="FFFFFF"/>
        </w:rPr>
      </w:pPr>
      <w:r>
        <w:rPr>
          <w:rFonts w:hint="eastAsia" w:ascii="宋体" w:hAnsi="宋体" w:eastAsia="宋体" w:cs="Arial"/>
          <w:color w:val="auto"/>
          <w:sz w:val="24"/>
          <w:szCs w:val="24"/>
          <w:shd w:val="clear" w:color="auto" w:fill="FFFFFF"/>
        </w:rPr>
        <w:t>教学团队负责人由组内成员通过竞聘或推举产生，由学院聘任，任期三年，可以连聘连任。跨</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教学团队负责人由相</w:t>
      </w:r>
      <w:r>
        <w:rPr>
          <w:rFonts w:hint="eastAsia" w:ascii="宋体" w:hAnsi="宋体" w:eastAsia="宋体" w:cs="Arial"/>
          <w:color w:val="auto"/>
          <w:sz w:val="24"/>
          <w:szCs w:val="24"/>
          <w:shd w:val="clear" w:color="auto" w:fill="FFFFFF"/>
          <w:lang w:eastAsia="zh-CN"/>
        </w:rPr>
        <w:t>关系</w:t>
      </w:r>
      <w:r>
        <w:rPr>
          <w:rFonts w:hint="eastAsia" w:ascii="宋体" w:hAnsi="宋体" w:eastAsia="宋体" w:cs="Arial"/>
          <w:color w:val="auto"/>
          <w:sz w:val="24"/>
          <w:szCs w:val="24"/>
          <w:shd w:val="clear" w:color="auto" w:fill="FFFFFF"/>
        </w:rPr>
        <w:t>协商报学院聘任。教学团队负责人应团结教学团队教师，高质量地完成教学团队规定的各项任务。因故不能履行负责人职责的，学院可以根据情况重新调整。</w:t>
      </w:r>
    </w:p>
    <w:p>
      <w:pPr>
        <w:widowControl/>
        <w:spacing w:line="360" w:lineRule="auto"/>
        <w:ind w:firstLine="482" w:firstLineChars="200"/>
        <w:rPr>
          <w:rFonts w:ascii="宋体" w:hAnsi="Calibri" w:eastAsia="宋体" w:cs="Arial"/>
          <w:b/>
          <w:color w:val="auto"/>
          <w:sz w:val="24"/>
          <w:szCs w:val="24"/>
          <w:shd w:val="clear" w:color="auto" w:fill="FFFFFF"/>
        </w:rPr>
      </w:pPr>
      <w:r>
        <w:rPr>
          <w:rFonts w:hint="eastAsia" w:ascii="宋体" w:hAnsi="宋体" w:eastAsia="宋体" w:cs="Arial"/>
          <w:b/>
          <w:color w:val="auto"/>
          <w:sz w:val="24"/>
          <w:szCs w:val="24"/>
          <w:shd w:val="clear" w:color="auto" w:fill="FFFFFF"/>
        </w:rPr>
        <w:t>四</w:t>
      </w:r>
      <w:r>
        <w:rPr>
          <w:rFonts w:ascii="宋体" w:hAnsi="宋体" w:eastAsia="宋体" w:cs="Arial"/>
          <w:b/>
          <w:color w:val="auto"/>
          <w:sz w:val="24"/>
          <w:szCs w:val="24"/>
          <w:shd w:val="clear" w:color="auto" w:fill="FFFFFF"/>
        </w:rPr>
        <w:t xml:space="preserve"> </w:t>
      </w:r>
      <w:r>
        <w:rPr>
          <w:rFonts w:hint="eastAsia" w:ascii="宋体" w:hAnsi="宋体" w:eastAsia="宋体" w:cs="Arial"/>
          <w:b/>
          <w:color w:val="auto"/>
          <w:sz w:val="24"/>
          <w:szCs w:val="24"/>
          <w:shd w:val="clear" w:color="auto" w:fill="FFFFFF"/>
        </w:rPr>
        <w:t>、教学团队成员</w:t>
      </w:r>
    </w:p>
    <w:p>
      <w:pPr>
        <w:widowControl/>
        <w:spacing w:line="360" w:lineRule="auto"/>
        <w:ind w:firstLine="480" w:firstLineChars="200"/>
        <w:jc w:val="left"/>
        <w:rPr>
          <w:rFonts w:ascii="宋体" w:hAnsi="Calibri" w:eastAsia="宋体" w:cs="Arial"/>
          <w:color w:val="auto"/>
          <w:sz w:val="24"/>
          <w:szCs w:val="24"/>
          <w:shd w:val="clear" w:color="auto" w:fill="FFFFFF"/>
        </w:rPr>
      </w:pPr>
      <w:r>
        <w:rPr>
          <w:rFonts w:hint="eastAsia" w:ascii="宋体" w:hAnsi="宋体" w:eastAsia="宋体" w:cs="Arial"/>
          <w:color w:val="auto"/>
          <w:sz w:val="24"/>
          <w:szCs w:val="24"/>
          <w:shd w:val="clear" w:color="auto" w:fill="FFFFFF"/>
        </w:rPr>
        <w:t>教学团队成员应当积极参加教学团队的活动，努力提高自己的学术水平和教学能力，服从教学团队整体工作安排，支持团队负责人及其他成员的工作。</w:t>
      </w:r>
    </w:p>
    <w:p>
      <w:pPr>
        <w:widowControl/>
        <w:spacing w:line="360" w:lineRule="auto"/>
        <w:ind w:firstLine="482" w:firstLineChars="200"/>
        <w:rPr>
          <w:rFonts w:ascii="宋体" w:hAnsi="Calibri" w:eastAsia="宋体" w:cs="宋体"/>
          <w:b/>
          <w:color w:val="auto"/>
          <w:kern w:val="0"/>
          <w:sz w:val="24"/>
          <w:szCs w:val="24"/>
        </w:rPr>
      </w:pPr>
      <w:r>
        <w:rPr>
          <w:rFonts w:hint="eastAsia" w:ascii="宋体" w:hAnsi="宋体" w:eastAsia="宋体" w:cs="Arial"/>
          <w:b/>
          <w:color w:val="auto"/>
          <w:sz w:val="24"/>
          <w:szCs w:val="24"/>
          <w:shd w:val="clear" w:color="auto" w:fill="FFFFFF"/>
        </w:rPr>
        <w:t>五</w:t>
      </w:r>
      <w:r>
        <w:rPr>
          <w:rFonts w:ascii="宋体" w:hAnsi="宋体" w:eastAsia="宋体" w:cs="Arial"/>
          <w:b/>
          <w:color w:val="auto"/>
          <w:sz w:val="24"/>
          <w:szCs w:val="24"/>
          <w:shd w:val="clear" w:color="auto" w:fill="FFFFFF"/>
        </w:rPr>
        <w:t xml:space="preserve"> </w:t>
      </w:r>
      <w:r>
        <w:rPr>
          <w:rFonts w:hint="eastAsia" w:ascii="宋体" w:hAnsi="宋体" w:eastAsia="宋体" w:cs="Arial"/>
          <w:b/>
          <w:color w:val="auto"/>
          <w:sz w:val="24"/>
          <w:szCs w:val="24"/>
          <w:shd w:val="clear" w:color="auto" w:fill="FFFFFF"/>
        </w:rPr>
        <w:t>、经费与考核</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（一）学院划拨专项经费建设一定数量的教学团队，每个教学团队给予相应的经费支持。经费由教学团队负责人支配，用于本教学团队的相关建设。</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（二）教学团队建设期为三年，其中第一年启动教学团队建设，第三年进行教学团队验收。建设期内需要完成的基本目标为：在教学团队验收时，需提供课程的教材、</w:t>
      </w:r>
      <w:r>
        <w:rPr>
          <w:rFonts w:hint="eastAsia" w:ascii="宋体" w:hAnsi="宋体" w:eastAsia="宋体" w:cs="Arial"/>
          <w:color w:val="auto"/>
          <w:sz w:val="24"/>
          <w:szCs w:val="24"/>
          <w:shd w:val="clear" w:color="auto" w:fill="FFFFFF"/>
          <w:lang w:eastAsia="zh-CN"/>
        </w:rPr>
        <w:t xml:space="preserve"> 课程标准</w:t>
      </w:r>
      <w:r>
        <w:rPr>
          <w:rFonts w:hint="eastAsia" w:ascii="宋体" w:hAnsi="宋体" w:eastAsia="宋体" w:cs="Arial"/>
          <w:color w:val="auto"/>
          <w:sz w:val="24"/>
          <w:szCs w:val="24"/>
          <w:shd w:val="clear" w:color="auto" w:fill="FFFFFF"/>
        </w:rPr>
        <w:t>、统一的课件</w:t>
      </w:r>
      <w:r>
        <w:rPr>
          <w:rFonts w:ascii="宋体" w:hAnsi="宋体" w:eastAsia="宋体" w:cs="Arial"/>
          <w:color w:val="auto"/>
          <w:sz w:val="24"/>
          <w:szCs w:val="24"/>
          <w:shd w:val="clear" w:color="auto" w:fill="FFFFFF"/>
        </w:rPr>
        <w:t>PPT</w:t>
      </w:r>
      <w:r>
        <w:rPr>
          <w:rFonts w:hint="eastAsia" w:ascii="宋体" w:hAnsi="宋体" w:eastAsia="宋体" w:cs="Arial"/>
          <w:color w:val="auto"/>
          <w:sz w:val="24"/>
          <w:szCs w:val="24"/>
          <w:shd w:val="clear" w:color="auto" w:fill="FFFFFF"/>
        </w:rPr>
        <w:t>、试题库、课程上网等课程基本资料。验收合格学院继续资助。</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（三）建设期后为运行期，运行期每三年考核一次，主要依据教学团队的业绩进行考核，包括课程教学效果评价、教学成果奖、教改项目、教研论文、教学名师等指标。考核合格学院继续资助。</w:t>
      </w:r>
    </w:p>
    <w:p>
      <w:pPr>
        <w:widowControl/>
        <w:spacing w:line="360" w:lineRule="auto"/>
        <w:ind w:firstLine="480" w:firstLineChars="200"/>
        <w:jc w:val="left"/>
        <w:rPr>
          <w:rFonts w:ascii="宋体" w:hAnsi="Calibri" w:eastAsia="宋体" w:cs="Arial"/>
          <w:color w:val="auto"/>
          <w:sz w:val="24"/>
          <w:szCs w:val="24"/>
        </w:rPr>
      </w:pPr>
      <w:r>
        <w:rPr>
          <w:rFonts w:hint="eastAsia" w:ascii="宋体" w:hAnsi="宋体" w:eastAsia="宋体" w:cs="Arial"/>
          <w:color w:val="auto"/>
          <w:sz w:val="24"/>
          <w:szCs w:val="24"/>
          <w:shd w:val="clear" w:color="auto" w:fill="FFFFFF"/>
        </w:rPr>
        <w:t>（四）各</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要关心支持教学团队工作，将教学团队建设与师资梯队建设、教学基本建设结合起来，提高各</w:t>
      </w:r>
      <w:r>
        <w:rPr>
          <w:rFonts w:hint="eastAsia" w:ascii="宋体" w:hAnsi="宋体" w:eastAsia="宋体" w:cs="Arial"/>
          <w:color w:val="auto"/>
          <w:sz w:val="24"/>
          <w:szCs w:val="24"/>
          <w:shd w:val="clear" w:color="auto" w:fill="FFFFFF"/>
          <w:lang w:eastAsia="zh-CN"/>
        </w:rPr>
        <w:t>二级学院</w:t>
      </w:r>
      <w:r>
        <w:rPr>
          <w:rFonts w:hint="eastAsia" w:ascii="宋体" w:hAnsi="宋体" w:eastAsia="宋体" w:cs="Arial"/>
          <w:color w:val="auto"/>
          <w:sz w:val="24"/>
          <w:szCs w:val="24"/>
          <w:shd w:val="clear" w:color="auto" w:fill="FFFFFF"/>
        </w:rPr>
        <w:t>整体教学水平。</w:t>
      </w:r>
    </w:p>
    <w:p>
      <w:pPr>
        <w:widowControl/>
        <w:spacing w:line="360" w:lineRule="auto"/>
        <w:ind w:firstLine="480" w:firstLineChars="200"/>
        <w:jc w:val="left"/>
        <w:rPr>
          <w:rFonts w:ascii="宋体" w:hAnsi="Calibri" w:eastAsia="宋体" w:cs="Arial"/>
          <w:color w:val="auto"/>
          <w:sz w:val="24"/>
          <w:szCs w:val="24"/>
          <w:shd w:val="clear" w:color="auto" w:fill="FFFFFF"/>
        </w:rPr>
      </w:pPr>
      <w:r>
        <w:rPr>
          <w:rFonts w:hint="eastAsia" w:ascii="宋体" w:hAnsi="宋体" w:eastAsia="宋体" w:cs="Arial"/>
          <w:color w:val="auto"/>
          <w:sz w:val="24"/>
          <w:szCs w:val="24"/>
          <w:shd w:val="clear" w:color="auto" w:fill="FFFFFF"/>
        </w:rPr>
        <w:t>（五）学院对教学团队负责人每三年考核一次，考核标准主要依据所领导教学团队考核结果。不合格者，取消负责人资格。</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55" w:name="_Toc27883"/>
      <w:r>
        <w:rPr>
          <w:rFonts w:hint="eastAsia"/>
          <w:color w:val="auto"/>
        </w:rPr>
        <w:t>百千万人才培养方案</w:t>
      </w:r>
      <w:bookmarkEnd w:id="55"/>
    </w:p>
    <w:p>
      <w:pPr>
        <w:spacing w:line="360" w:lineRule="auto"/>
        <w:ind w:firstLine="480" w:firstLineChars="200"/>
        <w:rPr>
          <w:rFonts w:ascii="宋体" w:hAnsi="Calibri" w:eastAsia="宋体" w:cs="宋体"/>
          <w:color w:val="auto"/>
          <w:kern w:val="0"/>
          <w:sz w:val="24"/>
          <w:szCs w:val="24"/>
        </w:rPr>
      </w:pPr>
    </w:p>
    <w:p>
      <w:pPr>
        <w:spacing w:line="360" w:lineRule="auto"/>
        <w:ind w:firstLine="480" w:firstLineChars="200"/>
        <w:rPr>
          <w:rFonts w:ascii="宋体" w:hAnsi="Calibri" w:eastAsia="宋体" w:cs="宋体"/>
          <w:color w:val="auto"/>
          <w:kern w:val="0"/>
          <w:sz w:val="24"/>
          <w:szCs w:val="24"/>
        </w:rPr>
      </w:pPr>
      <w:r>
        <w:rPr>
          <w:rFonts w:hint="eastAsia" w:ascii="宋体" w:hAnsi="宋体" w:eastAsia="宋体" w:cs="宋体"/>
          <w:color w:val="auto"/>
          <w:kern w:val="0"/>
          <w:sz w:val="24"/>
          <w:szCs w:val="24"/>
        </w:rPr>
        <w:t>为贯彻落实《国家中长期人才发展规划纲要（</w:t>
      </w:r>
      <w:r>
        <w:rPr>
          <w:rFonts w:ascii="宋体" w:hAnsi="宋体" w:eastAsia="宋体" w:cs="宋体"/>
          <w:color w:val="auto"/>
          <w:kern w:val="0"/>
          <w:sz w:val="24"/>
          <w:szCs w:val="24"/>
        </w:rPr>
        <w:t>2010-2020</w:t>
      </w:r>
      <w:r>
        <w:rPr>
          <w:rFonts w:hint="eastAsia" w:ascii="宋体" w:hAnsi="宋体" w:eastAsia="宋体" w:cs="宋体"/>
          <w:color w:val="auto"/>
          <w:kern w:val="0"/>
          <w:sz w:val="24"/>
          <w:szCs w:val="24"/>
        </w:rPr>
        <w:t>年）》、</w:t>
      </w:r>
      <w:r>
        <w:rPr>
          <w:rFonts w:hint="eastAsia" w:ascii="宋体" w:hAnsi="宋体" w:eastAsia="宋体" w:cs="Arial"/>
          <w:bCs/>
          <w:color w:val="auto"/>
          <w:kern w:val="0"/>
          <w:sz w:val="24"/>
          <w:szCs w:val="24"/>
        </w:rPr>
        <w:t>专业技术人才队伍建设中长期规划（</w:t>
      </w:r>
      <w:r>
        <w:rPr>
          <w:rFonts w:ascii="宋体" w:hAnsi="宋体" w:eastAsia="宋体" w:cs="Arial"/>
          <w:bCs/>
          <w:color w:val="auto"/>
          <w:kern w:val="0"/>
          <w:sz w:val="24"/>
          <w:szCs w:val="24"/>
        </w:rPr>
        <w:t>2010—2020</w:t>
      </w:r>
      <w:r>
        <w:rPr>
          <w:rFonts w:hint="eastAsia" w:ascii="宋体" w:hAnsi="宋体" w:eastAsia="宋体" w:cs="Arial"/>
          <w:bCs/>
          <w:color w:val="auto"/>
          <w:kern w:val="0"/>
          <w:sz w:val="24"/>
          <w:szCs w:val="24"/>
        </w:rPr>
        <w:t>年）及</w:t>
      </w:r>
      <w:r>
        <w:rPr>
          <w:rFonts w:hint="eastAsia" w:ascii="宋体" w:hAnsi="宋体" w:eastAsia="宋体" w:cs="宋体"/>
          <w:color w:val="auto"/>
          <w:kern w:val="0"/>
          <w:sz w:val="24"/>
          <w:szCs w:val="24"/>
        </w:rPr>
        <w:t>《广东省人民政府关于全面实施“强师工程”建设高素质专业化教师队伍的意见》、《广东省高等学院“千百十工程”实施办法》等文件精神，积极推进我省“高等教育创新强校工程”和“强师工程”，进一步加快我院中青年专业带头人、教学和学术骨干的培养，促进优秀人才脱颖而出和可持续发展，结合新时期我省教师队伍建设的新要求，制定我院百千万人才培养方案。</w:t>
      </w:r>
    </w:p>
    <w:p>
      <w:pPr>
        <w:widowControl/>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color w:val="auto"/>
          <w:kern w:val="0"/>
          <w:sz w:val="24"/>
          <w:szCs w:val="24"/>
        </w:rPr>
        <w:t>一、培养对象遴选</w:t>
      </w:r>
      <w:r>
        <w:rPr>
          <w:rFonts w:ascii="宋体" w:hAnsi="宋体" w:eastAsia="宋体" w:cs="宋体"/>
          <w:b/>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培养对象在我院专门从事教学科研工作的教师中遴选产生。专职从事行政管理工作的人员不列入遴选范围。</w:t>
      </w:r>
      <w:r>
        <w:rPr>
          <w:rFonts w:ascii="宋体" w:hAnsi="宋体" w:eastAsia="宋体" w:cs="宋体"/>
          <w:color w:val="auto"/>
          <w:kern w:val="0"/>
          <w:sz w:val="24"/>
          <w:szCs w:val="24"/>
        </w:rPr>
        <w:t xml:space="preserve"> </w:t>
      </w:r>
    </w:p>
    <w:p>
      <w:pPr>
        <w:widowControl/>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color w:val="auto"/>
          <w:kern w:val="0"/>
          <w:sz w:val="24"/>
          <w:szCs w:val="24"/>
        </w:rPr>
        <w:t>二、遴选条件</w:t>
      </w:r>
    </w:p>
    <w:p>
      <w:pPr>
        <w:widowControl/>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color w:val="auto"/>
          <w:kern w:val="0"/>
          <w:sz w:val="24"/>
          <w:szCs w:val="24"/>
        </w:rPr>
        <w:t>（一）基本条件</w:t>
      </w:r>
      <w:r>
        <w:rPr>
          <w:rFonts w:ascii="宋体" w:hAnsi="宋体" w:eastAsia="宋体" w:cs="宋体"/>
          <w:b/>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拥护党的领导，执行党的教育方针政策，遵纪守法；热爱高等教育事业，严谨治学，为人师表，具有良好的职业道德和学术道德。</w:t>
      </w:r>
    </w:p>
    <w:p>
      <w:pPr>
        <w:widowControl/>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color w:val="auto"/>
          <w:kern w:val="0"/>
          <w:sz w:val="24"/>
          <w:szCs w:val="24"/>
        </w:rPr>
        <w:t>（二）具体条件</w:t>
      </w:r>
      <w:r>
        <w:rPr>
          <w:rFonts w:ascii="宋体" w:hAnsi="宋体" w:eastAsia="宋体" w:cs="宋体"/>
          <w:b/>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1.</w:t>
      </w:r>
      <w:r>
        <w:rPr>
          <w:rFonts w:hint="eastAsia" w:ascii="宋体" w:hAnsi="宋体" w:eastAsia="宋体" w:cs="宋体"/>
          <w:color w:val="auto"/>
          <w:kern w:val="0"/>
          <w:sz w:val="24"/>
          <w:szCs w:val="24"/>
        </w:rPr>
        <w:t>具有两年以上工作经历、硕士以上学位及中级以上专业技术资格，</w:t>
      </w:r>
      <w:r>
        <w:rPr>
          <w:rFonts w:hint="eastAsia" w:ascii="宋体" w:hAnsi="宋体" w:eastAsia="宋体" w:cs="Times New Roman"/>
          <w:color w:val="auto"/>
          <w:sz w:val="24"/>
          <w:szCs w:val="24"/>
          <w:shd w:val="clear" w:color="auto" w:fill="FFFFFF"/>
        </w:rPr>
        <w:t>年龄不超过</w:t>
      </w:r>
      <w:r>
        <w:rPr>
          <w:rFonts w:ascii="宋体" w:hAnsi="宋体" w:eastAsia="宋体" w:cs="Times New Roman"/>
          <w:color w:val="auto"/>
          <w:sz w:val="24"/>
          <w:szCs w:val="24"/>
          <w:shd w:val="clear" w:color="auto" w:fill="FFFFFF"/>
        </w:rPr>
        <w:t xml:space="preserve">40 </w:t>
      </w:r>
      <w:r>
        <w:rPr>
          <w:rFonts w:hint="eastAsia" w:ascii="宋体" w:hAnsi="宋体" w:eastAsia="宋体" w:cs="Times New Roman"/>
          <w:color w:val="auto"/>
          <w:sz w:val="24"/>
          <w:szCs w:val="24"/>
          <w:shd w:val="clear" w:color="auto" w:fill="FFFFFF"/>
        </w:rPr>
        <w:t>周岁。</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独立</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统地讲授过</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门公共课或</w:t>
      </w:r>
      <w:r>
        <w:rPr>
          <w:rFonts w:ascii="宋体" w:hAnsi="宋体" w:eastAsia="宋体" w:cs="宋体"/>
          <w:color w:val="auto"/>
          <w:kern w:val="0"/>
          <w:sz w:val="24"/>
          <w:szCs w:val="24"/>
        </w:rPr>
        <w:t>2</w:t>
      </w:r>
      <w:r>
        <w:rPr>
          <w:rFonts w:hint="eastAsia" w:ascii="宋体" w:hAnsi="宋体" w:eastAsia="宋体" w:cs="宋体"/>
          <w:color w:val="auto"/>
          <w:kern w:val="0"/>
          <w:sz w:val="24"/>
          <w:szCs w:val="24"/>
        </w:rPr>
        <w:t>门以上专业课，每年完成学院规定的教学工作量，教学效果良好。</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Times New Roman"/>
          <w:color w:val="auto"/>
          <w:sz w:val="24"/>
          <w:szCs w:val="24"/>
          <w:shd w:val="clear" w:color="auto" w:fill="FFFFFF"/>
        </w:rPr>
      </w:pPr>
      <w:r>
        <w:rPr>
          <w:rFonts w:ascii="宋体" w:hAnsi="宋体" w:eastAsia="宋体" w:cs="宋体"/>
          <w:color w:val="auto"/>
          <w:kern w:val="0"/>
          <w:sz w:val="24"/>
          <w:szCs w:val="24"/>
        </w:rPr>
        <w:t>3.</w:t>
      </w:r>
      <w:r>
        <w:rPr>
          <w:rFonts w:hint="eastAsia" w:ascii="宋体" w:hAnsi="宋体" w:eastAsia="宋体" w:cs="Times New Roman"/>
          <w:color w:val="auto"/>
          <w:sz w:val="24"/>
          <w:szCs w:val="24"/>
          <w:shd w:val="clear" w:color="auto" w:fill="FFFFFF"/>
        </w:rPr>
        <w:t>具有较</w:t>
      </w:r>
      <w:r>
        <w:rPr>
          <w:rFonts w:hint="eastAsia" w:ascii="宋体" w:hAnsi="宋体" w:eastAsia="宋体" w:cs="Times New Roman"/>
          <w:color w:val="auto"/>
          <w:sz w:val="24"/>
          <w:szCs w:val="24"/>
          <w:shd w:val="clear" w:color="auto" w:fill="FFFFFF"/>
          <w:lang w:eastAsia="zh-CN"/>
        </w:rPr>
        <w:t>二级学院</w:t>
      </w:r>
      <w:r>
        <w:rPr>
          <w:rFonts w:hint="eastAsia" w:ascii="宋体" w:hAnsi="宋体" w:eastAsia="宋体" w:cs="Times New Roman"/>
          <w:color w:val="auto"/>
          <w:sz w:val="24"/>
          <w:szCs w:val="24"/>
          <w:shd w:val="clear" w:color="auto" w:fill="FFFFFF"/>
        </w:rPr>
        <w:t>统和坚实的专业基础理论知识，对本学科国内外的现状及发展趋势有一定的了解，并有明确的研究方向，对本学科的某一专业方向有较深入的研究。</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4.</w:t>
      </w:r>
      <w:r>
        <w:rPr>
          <w:rFonts w:hint="eastAsia" w:ascii="宋体" w:hAnsi="宋体" w:eastAsia="宋体" w:cs="宋体"/>
          <w:color w:val="auto"/>
          <w:kern w:val="0"/>
          <w:sz w:val="24"/>
          <w:szCs w:val="24"/>
        </w:rPr>
        <w:t>积极参与专业建设，精品（精品开放）课程、重点（示范性）专业、示范校重点建设专业、创新强校项目、教学（科研）团队的主持人、带头人或骨干成员，或参编出版过本专业较高水平的专著或教材。</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Times New Roman"/>
          <w:color w:val="auto"/>
          <w:sz w:val="24"/>
          <w:szCs w:val="24"/>
          <w:shd w:val="clear" w:color="auto" w:fill="FFFFFF"/>
        </w:rPr>
      </w:pPr>
      <w:r>
        <w:rPr>
          <w:rFonts w:ascii="宋体" w:hAnsi="宋体" w:eastAsia="宋体" w:cs="宋体"/>
          <w:color w:val="auto"/>
          <w:kern w:val="0"/>
          <w:sz w:val="24"/>
          <w:szCs w:val="24"/>
        </w:rPr>
        <w:t>5.</w:t>
      </w:r>
      <w:r>
        <w:rPr>
          <w:rFonts w:hint="eastAsia" w:ascii="宋体" w:hAnsi="宋体" w:eastAsia="宋体" w:cs="Times New Roman"/>
          <w:color w:val="auto"/>
          <w:sz w:val="24"/>
          <w:szCs w:val="24"/>
          <w:shd w:val="clear" w:color="auto" w:fill="FFFFFF"/>
        </w:rPr>
        <w:t>近</w:t>
      </w:r>
      <w:r>
        <w:rPr>
          <w:rFonts w:ascii="宋体" w:hAnsi="宋体" w:eastAsia="宋体" w:cs="Times New Roman"/>
          <w:color w:val="auto"/>
          <w:sz w:val="24"/>
          <w:szCs w:val="24"/>
          <w:shd w:val="clear" w:color="auto" w:fill="FFFFFF"/>
        </w:rPr>
        <w:t>5</w:t>
      </w:r>
      <w:r>
        <w:rPr>
          <w:rFonts w:hint="eastAsia" w:ascii="宋体" w:hAnsi="宋体" w:eastAsia="宋体" w:cs="Times New Roman"/>
          <w:color w:val="auto"/>
          <w:sz w:val="24"/>
          <w:szCs w:val="24"/>
          <w:shd w:val="clear" w:color="auto" w:fill="FFFFFF"/>
        </w:rPr>
        <w:t>年来科研成果突出，具备下列六项中的两项：</w:t>
      </w:r>
    </w:p>
    <w:p>
      <w:pPr>
        <w:widowControl/>
        <w:spacing w:line="360" w:lineRule="auto"/>
        <w:ind w:firstLine="480" w:firstLineChars="200"/>
        <w:jc w:val="left"/>
        <w:rPr>
          <w:rFonts w:ascii="宋体" w:hAnsi="Calibri" w:eastAsia="宋体" w:cs="Times New Roman"/>
          <w:color w:val="auto"/>
          <w:sz w:val="24"/>
          <w:szCs w:val="24"/>
          <w:shd w:val="clear" w:color="auto" w:fill="FFFFFF"/>
        </w:rPr>
      </w:pPr>
      <w:r>
        <w:rPr>
          <w:rFonts w:hint="eastAsia" w:ascii="宋体" w:hAnsi="宋体" w:eastAsia="宋体" w:cs="Times New Roman"/>
          <w:color w:val="auto"/>
          <w:sz w:val="24"/>
          <w:szCs w:val="24"/>
          <w:shd w:val="clear" w:color="auto" w:fill="FFFFFF"/>
        </w:rPr>
        <w:t>（</w:t>
      </w:r>
      <w:r>
        <w:rPr>
          <w:rFonts w:ascii="宋体" w:hAnsi="宋体" w:eastAsia="宋体" w:cs="Times New Roman"/>
          <w:color w:val="auto"/>
          <w:sz w:val="24"/>
          <w:szCs w:val="24"/>
          <w:shd w:val="clear" w:color="auto" w:fill="FFFFFF"/>
        </w:rPr>
        <w:t>1</w:t>
      </w:r>
      <w:r>
        <w:rPr>
          <w:rFonts w:hint="eastAsia" w:ascii="宋体" w:hAnsi="宋体" w:eastAsia="宋体" w:cs="Times New Roman"/>
          <w:color w:val="auto"/>
          <w:sz w:val="24"/>
          <w:szCs w:val="24"/>
          <w:shd w:val="clear" w:color="auto" w:fill="FFFFFF"/>
        </w:rPr>
        <w:t>）在国内外核心学术刊物上发表科研论文（本人是第一作者）</w:t>
      </w:r>
      <w:r>
        <w:rPr>
          <w:rFonts w:ascii="宋体" w:hAnsi="宋体" w:eastAsia="宋体" w:cs="Times New Roman"/>
          <w:color w:val="auto"/>
          <w:sz w:val="24"/>
          <w:szCs w:val="24"/>
          <w:shd w:val="clear" w:color="auto" w:fill="FFFFFF"/>
        </w:rPr>
        <w:t>1</w:t>
      </w:r>
      <w:r>
        <w:rPr>
          <w:rFonts w:hint="eastAsia" w:ascii="宋体" w:hAnsi="宋体" w:eastAsia="宋体" w:cs="Times New Roman"/>
          <w:color w:val="auto"/>
          <w:sz w:val="24"/>
          <w:szCs w:val="24"/>
          <w:shd w:val="clear" w:color="auto" w:fill="FFFFFF"/>
        </w:rPr>
        <w:t>篇以上；</w:t>
      </w:r>
    </w:p>
    <w:p>
      <w:pPr>
        <w:widowControl/>
        <w:spacing w:line="360" w:lineRule="auto"/>
        <w:ind w:firstLine="480" w:firstLineChars="200"/>
        <w:jc w:val="left"/>
        <w:rPr>
          <w:rFonts w:ascii="宋体" w:hAnsi="Calibri" w:eastAsia="宋体" w:cs="Times New Roman"/>
          <w:color w:val="auto"/>
          <w:sz w:val="24"/>
          <w:szCs w:val="24"/>
          <w:shd w:val="clear" w:color="auto" w:fill="FFFFFF"/>
        </w:rPr>
      </w:pPr>
      <w:r>
        <w:rPr>
          <w:rFonts w:hint="eastAsia" w:ascii="宋体" w:hAnsi="宋体" w:eastAsia="宋体" w:cs="Times New Roman"/>
          <w:color w:val="auto"/>
          <w:sz w:val="24"/>
          <w:szCs w:val="24"/>
          <w:shd w:val="clear" w:color="auto" w:fill="FFFFFF"/>
        </w:rPr>
        <w:t>（</w:t>
      </w:r>
      <w:r>
        <w:rPr>
          <w:rFonts w:ascii="宋体" w:hAnsi="宋体" w:eastAsia="宋体" w:cs="Times New Roman"/>
          <w:color w:val="auto"/>
          <w:sz w:val="24"/>
          <w:szCs w:val="24"/>
          <w:shd w:val="clear" w:color="auto" w:fill="FFFFFF"/>
        </w:rPr>
        <w:t>2</w:t>
      </w:r>
      <w:r>
        <w:rPr>
          <w:rFonts w:hint="eastAsia" w:ascii="宋体" w:hAnsi="宋体" w:eastAsia="宋体" w:cs="Times New Roman"/>
          <w:color w:val="auto"/>
          <w:sz w:val="24"/>
          <w:szCs w:val="24"/>
          <w:shd w:val="clear" w:color="auto" w:fill="FFFFFF"/>
        </w:rPr>
        <w:t>）公开出版专著或教材（本人为第一作者或本人撰写）；</w:t>
      </w:r>
    </w:p>
    <w:p>
      <w:pPr>
        <w:widowControl/>
        <w:spacing w:line="360" w:lineRule="auto"/>
        <w:ind w:firstLine="480" w:firstLineChars="200"/>
        <w:jc w:val="left"/>
        <w:rPr>
          <w:rFonts w:ascii="宋体" w:hAnsi="Calibri" w:eastAsia="宋体" w:cs="Times New Roman"/>
          <w:color w:val="auto"/>
          <w:sz w:val="24"/>
          <w:szCs w:val="24"/>
          <w:shd w:val="clear" w:color="auto" w:fill="FFFFFF"/>
        </w:rPr>
      </w:pPr>
      <w:r>
        <w:rPr>
          <w:rFonts w:hint="eastAsia" w:ascii="宋体" w:hAnsi="宋体" w:eastAsia="宋体" w:cs="Times New Roman"/>
          <w:color w:val="auto"/>
          <w:sz w:val="24"/>
          <w:szCs w:val="24"/>
          <w:shd w:val="clear" w:color="auto" w:fill="FFFFFF"/>
        </w:rPr>
        <w:t>（</w:t>
      </w:r>
      <w:r>
        <w:rPr>
          <w:rFonts w:ascii="宋体" w:hAnsi="宋体" w:eastAsia="宋体" w:cs="Times New Roman"/>
          <w:color w:val="auto"/>
          <w:sz w:val="24"/>
          <w:szCs w:val="24"/>
          <w:shd w:val="clear" w:color="auto" w:fill="FFFFFF"/>
        </w:rPr>
        <w:t>3</w:t>
      </w:r>
      <w:r>
        <w:rPr>
          <w:rFonts w:hint="eastAsia" w:ascii="宋体" w:hAnsi="宋体" w:eastAsia="宋体" w:cs="Times New Roman"/>
          <w:color w:val="auto"/>
          <w:sz w:val="24"/>
          <w:szCs w:val="24"/>
          <w:shd w:val="clear" w:color="auto" w:fill="FFFFFF"/>
        </w:rPr>
        <w:t>）主持厅局级以上（含厅局级）科研项目（课题）</w:t>
      </w:r>
      <w:r>
        <w:rPr>
          <w:rFonts w:ascii="宋体" w:hAnsi="宋体" w:eastAsia="宋体" w:cs="Times New Roman"/>
          <w:color w:val="auto"/>
          <w:sz w:val="24"/>
          <w:szCs w:val="24"/>
          <w:shd w:val="clear" w:color="auto" w:fill="FFFFFF"/>
        </w:rPr>
        <w:t xml:space="preserve">1 </w:t>
      </w:r>
      <w:r>
        <w:rPr>
          <w:rFonts w:hint="eastAsia" w:ascii="宋体" w:hAnsi="宋体" w:eastAsia="宋体" w:cs="Times New Roman"/>
          <w:color w:val="auto"/>
          <w:sz w:val="24"/>
          <w:szCs w:val="24"/>
          <w:shd w:val="clear" w:color="auto" w:fill="FFFFFF"/>
        </w:rPr>
        <w:t>项以上；或参加省级以上（含省级）科研项目（课题）研究，本人是项目（课题）的主要参加者（前五名）；或主持横向科研课题，研究经费不少于</w:t>
      </w:r>
      <w:r>
        <w:rPr>
          <w:rFonts w:ascii="宋体" w:hAnsi="宋体" w:eastAsia="宋体" w:cs="Times New Roman"/>
          <w:color w:val="auto"/>
          <w:sz w:val="24"/>
          <w:szCs w:val="24"/>
          <w:shd w:val="clear" w:color="auto" w:fill="FFFFFF"/>
        </w:rPr>
        <w:t xml:space="preserve">3 </w:t>
      </w:r>
      <w:r>
        <w:rPr>
          <w:rFonts w:hint="eastAsia" w:ascii="宋体" w:hAnsi="宋体" w:eastAsia="宋体" w:cs="Times New Roman"/>
          <w:color w:val="auto"/>
          <w:sz w:val="24"/>
          <w:szCs w:val="24"/>
          <w:shd w:val="clear" w:color="auto" w:fill="FFFFFF"/>
        </w:rPr>
        <w:t>万元；</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Times New Roman"/>
          <w:color w:val="auto"/>
          <w:sz w:val="24"/>
          <w:szCs w:val="24"/>
          <w:shd w:val="clear" w:color="auto" w:fill="FFFFFF"/>
        </w:rPr>
        <w:t>（</w:t>
      </w:r>
      <w:r>
        <w:rPr>
          <w:rFonts w:ascii="宋体" w:hAnsi="宋体" w:eastAsia="宋体" w:cs="Times New Roman"/>
          <w:color w:val="auto"/>
          <w:sz w:val="24"/>
          <w:szCs w:val="24"/>
          <w:shd w:val="clear" w:color="auto" w:fill="FFFFFF"/>
        </w:rPr>
        <w:t>4</w:t>
      </w:r>
      <w:r>
        <w:rPr>
          <w:rFonts w:hint="eastAsia" w:ascii="宋体" w:hAnsi="宋体" w:eastAsia="宋体" w:cs="Times New Roman"/>
          <w:color w:val="auto"/>
          <w:sz w:val="24"/>
          <w:szCs w:val="24"/>
          <w:shd w:val="clear" w:color="auto" w:fill="FFFFFF"/>
        </w:rPr>
        <w:t>）获省部级科学技术奖（广东省科学技术奖、教育部提名国家科学技术奖等）</w:t>
      </w:r>
      <w:r>
        <w:rPr>
          <w:rFonts w:ascii="宋体" w:hAnsi="宋体" w:eastAsia="宋体" w:cs="Times New Roman"/>
          <w:color w:val="auto"/>
          <w:sz w:val="24"/>
          <w:szCs w:val="24"/>
          <w:shd w:val="clear" w:color="auto" w:fill="FFFFFF"/>
        </w:rPr>
        <w:t xml:space="preserve">1 </w:t>
      </w:r>
      <w:r>
        <w:rPr>
          <w:rFonts w:hint="eastAsia" w:ascii="宋体" w:hAnsi="宋体" w:eastAsia="宋体" w:cs="Times New Roman"/>
          <w:color w:val="auto"/>
          <w:sz w:val="24"/>
          <w:szCs w:val="24"/>
          <w:shd w:val="clear" w:color="auto" w:fill="FFFFFF"/>
        </w:rPr>
        <w:t>项（排前五名）；或获省级优秀教学成果奖</w:t>
      </w:r>
      <w:r>
        <w:rPr>
          <w:rFonts w:ascii="宋体" w:hAnsi="宋体" w:eastAsia="宋体" w:cs="Times New Roman"/>
          <w:color w:val="auto"/>
          <w:sz w:val="24"/>
          <w:szCs w:val="24"/>
          <w:shd w:val="clear" w:color="auto" w:fill="FFFFFF"/>
        </w:rPr>
        <w:t xml:space="preserve">1 </w:t>
      </w:r>
      <w:r>
        <w:rPr>
          <w:rFonts w:hint="eastAsia" w:ascii="宋体" w:hAnsi="宋体" w:eastAsia="宋体" w:cs="Times New Roman"/>
          <w:color w:val="auto"/>
          <w:sz w:val="24"/>
          <w:szCs w:val="24"/>
          <w:shd w:val="clear" w:color="auto" w:fill="FFFFFF"/>
        </w:rPr>
        <w:t>项（排前五名）；</w:t>
      </w:r>
      <w:r>
        <w:rPr>
          <w:rFonts w:hint="eastAsia" w:ascii="宋体" w:hAnsi="宋体" w:eastAsia="宋体" w:cs="宋体"/>
          <w:color w:val="auto"/>
          <w:kern w:val="0"/>
          <w:sz w:val="24"/>
          <w:szCs w:val="24"/>
        </w:rPr>
        <w:t>或参与国家级项目</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项（前两名）；或本人（及指导的学生）在学院以外单位组织的专业技能、行业技能竞赛中获奖。</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w:t>
      </w:r>
      <w:r>
        <w:rPr>
          <w:rFonts w:ascii="宋体" w:hAnsi="宋体" w:eastAsia="宋体" w:cs="宋体"/>
          <w:color w:val="auto"/>
          <w:kern w:val="0"/>
          <w:sz w:val="24"/>
          <w:szCs w:val="24"/>
        </w:rPr>
        <w:t>5</w:t>
      </w:r>
      <w:r>
        <w:rPr>
          <w:rFonts w:hint="eastAsia" w:ascii="宋体" w:hAnsi="宋体" w:eastAsia="宋体" w:cs="宋体"/>
          <w:color w:val="auto"/>
          <w:kern w:val="0"/>
          <w:sz w:val="24"/>
          <w:szCs w:val="24"/>
        </w:rPr>
        <w:t>）从事科技开发或产学研合作，取得较好的经济效益或较好的社会影响，或获专利</w:t>
      </w:r>
      <w:r>
        <w:rPr>
          <w:rFonts w:ascii="宋体" w:hAnsi="宋体" w:eastAsia="宋体" w:cs="宋体"/>
          <w:color w:val="auto"/>
          <w:kern w:val="0"/>
          <w:sz w:val="24"/>
          <w:szCs w:val="24"/>
        </w:rPr>
        <w:t>1</w:t>
      </w:r>
      <w:r>
        <w:rPr>
          <w:rFonts w:hint="eastAsia" w:ascii="宋体" w:hAnsi="宋体" w:eastAsia="宋体" w:cs="宋体"/>
          <w:color w:val="auto"/>
          <w:kern w:val="0"/>
          <w:sz w:val="24"/>
          <w:szCs w:val="24"/>
        </w:rPr>
        <w:t>项以上。</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w:t>
      </w:r>
      <w:r>
        <w:rPr>
          <w:rFonts w:ascii="宋体" w:hAnsi="宋体" w:eastAsia="宋体" w:cs="宋体"/>
          <w:color w:val="auto"/>
          <w:kern w:val="0"/>
          <w:sz w:val="24"/>
          <w:szCs w:val="24"/>
        </w:rPr>
        <w:t>6</w:t>
      </w:r>
      <w:r>
        <w:rPr>
          <w:rFonts w:hint="eastAsia" w:ascii="宋体" w:hAnsi="宋体" w:eastAsia="宋体" w:cs="宋体"/>
          <w:color w:val="auto"/>
          <w:kern w:val="0"/>
          <w:sz w:val="24"/>
          <w:szCs w:val="24"/>
        </w:rPr>
        <w:t>）列入院级及以上高等职业教育领军人才培养计划，或获行业大师称号。</w:t>
      </w:r>
      <w:r>
        <w:rPr>
          <w:rFonts w:ascii="宋体" w:hAnsi="宋体" w:eastAsia="宋体" w:cs="宋体"/>
          <w:color w:val="auto"/>
          <w:kern w:val="0"/>
          <w:sz w:val="24"/>
          <w:szCs w:val="24"/>
        </w:rPr>
        <w:t xml:space="preserve"> </w:t>
      </w:r>
    </w:p>
    <w:p>
      <w:pPr>
        <w:widowControl/>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color w:val="auto"/>
          <w:kern w:val="0"/>
          <w:sz w:val="24"/>
          <w:szCs w:val="24"/>
        </w:rPr>
        <w:t>三、遴选办法</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（一）方式。采取自下而上推荐遴选的方式。先由学院推荐或个人自荐，经</w:t>
      </w:r>
      <w:r>
        <w:rPr>
          <w:rFonts w:hint="eastAsia" w:ascii="宋体" w:hAnsi="宋体" w:eastAsia="宋体" w:cs="宋体"/>
          <w:color w:val="auto"/>
          <w:kern w:val="0"/>
          <w:sz w:val="24"/>
          <w:szCs w:val="24"/>
          <w:lang w:eastAsia="zh-CN"/>
        </w:rPr>
        <w:t>教务部</w:t>
      </w:r>
      <w:r>
        <w:rPr>
          <w:rFonts w:hint="eastAsia" w:ascii="宋体" w:hAnsi="宋体" w:eastAsia="宋体" w:cs="宋体"/>
          <w:color w:val="auto"/>
          <w:kern w:val="0"/>
          <w:sz w:val="24"/>
          <w:szCs w:val="24"/>
        </w:rPr>
        <w:t>组织专家在全院范围内择优遴选。</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（二）名额。遴选的院级培养对象人数不超过本院专任教师（不含附属医院）总数的</w:t>
      </w:r>
      <w:r>
        <w:rPr>
          <w:rFonts w:ascii="宋体" w:hAnsi="宋体" w:eastAsia="宋体" w:cs="宋体"/>
          <w:color w:val="auto"/>
          <w:kern w:val="0"/>
          <w:sz w:val="24"/>
          <w:szCs w:val="24"/>
        </w:rPr>
        <w:t>4%</w:t>
      </w:r>
      <w:r>
        <w:rPr>
          <w:rFonts w:hint="eastAsia" w:ascii="宋体" w:hAnsi="宋体" w:eastAsia="宋体" w:cs="宋体"/>
          <w:color w:val="auto"/>
          <w:kern w:val="0"/>
          <w:sz w:val="24"/>
          <w:szCs w:val="24"/>
        </w:rPr>
        <w:t>。</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（三）程序</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1.</w:t>
      </w:r>
      <w:r>
        <w:rPr>
          <w:rFonts w:hint="eastAsia" w:ascii="宋体" w:hAnsi="宋体" w:eastAsia="宋体" w:cs="宋体"/>
          <w:color w:val="auto"/>
          <w:kern w:val="0"/>
          <w:sz w:val="24"/>
          <w:szCs w:val="24"/>
        </w:rPr>
        <w:t>申报人填写《广东江门中医药职业学院“百千万人才”培养对象申报表》。</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2.</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（部）为基本单位推荐。</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（部）成立由党政领导和教师代表组成的推荐小组，在认真审阅推荐人选材料和广泛听取群众意见的基础上，向学院提出培养对象的推荐名单并提交推荐材料。</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3.</w:t>
      </w:r>
      <w:r>
        <w:rPr>
          <w:rFonts w:hint="eastAsia" w:ascii="宋体" w:hAnsi="宋体" w:eastAsia="宋体" w:cs="宋体"/>
          <w:color w:val="auto"/>
          <w:kern w:val="0"/>
          <w:sz w:val="24"/>
          <w:szCs w:val="24"/>
        </w:rPr>
        <w:t>学院成立由党政领导、有关职能处室负责人和教师代表组成的评审委员会（或委托学院学术委员会），按照条件要求和学院教师队伍建设规划综合择优确定推荐人选。</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4.</w:t>
      </w:r>
      <w:r>
        <w:rPr>
          <w:rFonts w:hint="eastAsia" w:ascii="宋体" w:hAnsi="宋体" w:eastAsia="宋体" w:cs="宋体"/>
          <w:color w:val="auto"/>
          <w:kern w:val="0"/>
          <w:sz w:val="24"/>
          <w:szCs w:val="24"/>
        </w:rPr>
        <w:t>学院对确定推荐的培养对象在校内公示</w:t>
      </w:r>
      <w:r>
        <w:rPr>
          <w:rFonts w:ascii="宋体" w:hAnsi="宋体" w:eastAsia="宋体" w:cs="宋体"/>
          <w:color w:val="auto"/>
          <w:kern w:val="0"/>
          <w:sz w:val="24"/>
          <w:szCs w:val="24"/>
        </w:rPr>
        <w:t>7</w:t>
      </w:r>
      <w:r>
        <w:rPr>
          <w:rFonts w:hint="eastAsia" w:ascii="宋体" w:hAnsi="宋体" w:eastAsia="宋体" w:cs="宋体"/>
          <w:color w:val="auto"/>
          <w:kern w:val="0"/>
          <w:sz w:val="24"/>
          <w:szCs w:val="24"/>
        </w:rPr>
        <w:t>天，公示无异议后报送有关管理部门备案。</w:t>
      </w:r>
      <w:r>
        <w:rPr>
          <w:rFonts w:ascii="宋体" w:hAnsi="宋体" w:eastAsia="宋体" w:cs="宋体"/>
          <w:color w:val="auto"/>
          <w:kern w:val="0"/>
          <w:sz w:val="24"/>
          <w:szCs w:val="24"/>
        </w:rPr>
        <w:t xml:space="preserve"> </w:t>
      </w:r>
    </w:p>
    <w:p>
      <w:pPr>
        <w:widowControl/>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color w:val="auto"/>
          <w:kern w:val="0"/>
          <w:sz w:val="24"/>
          <w:szCs w:val="24"/>
        </w:rPr>
        <w:t>四、培养措施</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（一）与培养对象签订培养协议书，确定具体培养目标，学院及培养对象的权利、义务与责任。</w:t>
      </w:r>
    </w:p>
    <w:p>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（二）支持培养对象到国内外重点大学进行访学或参加学术活动。</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（三）优先安排使用仪器设备和图书资料，提供必要的实验（实训）室、仪器设备和科研助手；支持培养对象组建学术团队。</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（四）成立培养指导小组，指导培养对象按规律、有计划提升专业水平和教学科研能力，开展教学科研工作。</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（五）定期听取培养对象的意见和建议，督促指导培养对象实现培养目标。</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（六）引导和支持培养对象积极申报省级、国家级人才工程。</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（七）对入选省级及以上人才工程的培养对象、培养期内调离学院或期中考核不合格的培养对象，取消其培养资格，停发学术补贴。</w:t>
      </w:r>
    </w:p>
    <w:p>
      <w:pPr>
        <w:widowControl/>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（八）培养对象职责：</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1.</w:t>
      </w:r>
      <w:r>
        <w:rPr>
          <w:rFonts w:hint="eastAsia" w:ascii="宋体" w:hAnsi="宋体" w:eastAsia="宋体" w:cs="宋体"/>
          <w:color w:val="auto"/>
          <w:kern w:val="0"/>
          <w:sz w:val="24"/>
          <w:szCs w:val="24"/>
        </w:rPr>
        <w:t>根据《申报表》中提出的目标任务，参照培养对象期满考核标准，与学院签订培养协议书，明确培养期内师德师风、教育教学、科学研究、服务社会、个人专业提升等方面的工作目标。</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2.</w:t>
      </w:r>
      <w:r>
        <w:rPr>
          <w:rFonts w:hint="eastAsia" w:ascii="宋体" w:hAnsi="宋体" w:eastAsia="宋体" w:cs="宋体"/>
          <w:color w:val="auto"/>
          <w:kern w:val="0"/>
          <w:sz w:val="24"/>
          <w:szCs w:val="24"/>
        </w:rPr>
        <w:t>模范遵守教师职业道德规范，教书育人，为人师表。</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按要求完成教育教学工作任务，保证教学质量和效果。</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4.</w:t>
      </w:r>
      <w:r>
        <w:rPr>
          <w:rFonts w:hint="eastAsia" w:ascii="宋体" w:hAnsi="宋体" w:eastAsia="宋体" w:cs="宋体"/>
          <w:color w:val="auto"/>
          <w:kern w:val="0"/>
          <w:sz w:val="24"/>
          <w:szCs w:val="24"/>
        </w:rPr>
        <w:t>积极参加科研及学术交流活动，提升科研学术能力。</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5.</w:t>
      </w:r>
      <w:r>
        <w:rPr>
          <w:rFonts w:hint="eastAsia" w:ascii="宋体" w:hAnsi="宋体" w:eastAsia="宋体" w:cs="宋体"/>
          <w:color w:val="auto"/>
          <w:kern w:val="0"/>
          <w:sz w:val="24"/>
          <w:szCs w:val="24"/>
        </w:rPr>
        <w:t>主动接受指导，虚心听取意见和建议，接受期中（满）考核。</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6.</w:t>
      </w:r>
      <w:r>
        <w:rPr>
          <w:rFonts w:hint="eastAsia" w:ascii="宋体" w:hAnsi="宋体" w:eastAsia="宋体" w:cs="宋体"/>
          <w:color w:val="auto"/>
          <w:kern w:val="0"/>
          <w:sz w:val="24"/>
          <w:szCs w:val="24"/>
        </w:rPr>
        <w:t>完成协议书中确定的其他各项工作任务。</w:t>
      </w:r>
    </w:p>
    <w:p>
      <w:pPr>
        <w:widowControl/>
        <w:spacing w:line="360" w:lineRule="auto"/>
        <w:ind w:firstLine="482" w:firstLineChars="200"/>
        <w:jc w:val="left"/>
        <w:rPr>
          <w:rFonts w:ascii="宋体" w:hAnsi="Calibri" w:eastAsia="宋体" w:cs="宋体"/>
          <w:b/>
          <w:color w:val="auto"/>
          <w:kern w:val="0"/>
          <w:sz w:val="24"/>
          <w:szCs w:val="24"/>
        </w:rPr>
      </w:pPr>
      <w:r>
        <w:rPr>
          <w:rFonts w:hint="eastAsia" w:ascii="宋体" w:hAnsi="宋体" w:eastAsia="宋体" w:cs="宋体"/>
          <w:b/>
          <w:color w:val="auto"/>
          <w:kern w:val="0"/>
          <w:sz w:val="24"/>
          <w:szCs w:val="24"/>
        </w:rPr>
        <w:t>五、考核办法</w:t>
      </w:r>
      <w:r>
        <w:rPr>
          <w:rFonts w:ascii="宋体" w:hAnsi="宋体" w:eastAsia="宋体" w:cs="宋体"/>
          <w:b/>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（一）考核分为期中考核和期满考核，培养满</w:t>
      </w:r>
      <w:r>
        <w:rPr>
          <w:rFonts w:ascii="宋体" w:hAnsi="宋体" w:eastAsia="宋体" w:cs="宋体"/>
          <w:color w:val="auto"/>
          <w:kern w:val="0"/>
          <w:sz w:val="24"/>
          <w:szCs w:val="24"/>
        </w:rPr>
        <w:t>2</w:t>
      </w:r>
      <w:r>
        <w:rPr>
          <w:rFonts w:hint="eastAsia" w:ascii="宋体" w:hAnsi="宋体" w:eastAsia="宋体" w:cs="宋体"/>
          <w:color w:val="auto"/>
          <w:kern w:val="0"/>
          <w:sz w:val="24"/>
          <w:szCs w:val="24"/>
        </w:rPr>
        <w:t>年进行期中考核，培养满</w:t>
      </w:r>
      <w:r>
        <w:rPr>
          <w:rFonts w:ascii="宋体" w:hAnsi="宋体" w:eastAsia="宋体" w:cs="宋体"/>
          <w:color w:val="auto"/>
          <w:kern w:val="0"/>
          <w:sz w:val="24"/>
          <w:szCs w:val="24"/>
        </w:rPr>
        <w:t>4</w:t>
      </w:r>
      <w:r>
        <w:rPr>
          <w:rFonts w:hint="eastAsia" w:ascii="宋体" w:hAnsi="宋体" w:eastAsia="宋体" w:cs="宋体"/>
          <w:color w:val="auto"/>
          <w:kern w:val="0"/>
          <w:sz w:val="24"/>
          <w:szCs w:val="24"/>
        </w:rPr>
        <w:t>年进行期满考核。期中考核结果分为合格和不合格两个等次；期满考核结果分为优秀、良好、合格和不合格四个等次。</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二）考核内容主要包括培养对象培养期内师德表现、教学科研、学术成果等情况。期中考核主要侧重师德表现和教学科研工作进展情况和取得的阶段性成效；师德表现良好，按学院规定和培养协议内容正常开展教学科研工作为合格；若有师德不端、学术不端、没有按计划开展工作、年度考核不称职（不合格）、聘期考核不合格、存在违纪、违法等行为之一的为不合格。</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（三）程序和组织</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1.</w:t>
      </w:r>
      <w:r>
        <w:rPr>
          <w:rFonts w:hint="eastAsia" w:ascii="宋体" w:hAnsi="宋体" w:eastAsia="宋体" w:cs="宋体"/>
          <w:color w:val="auto"/>
          <w:kern w:val="0"/>
          <w:sz w:val="24"/>
          <w:szCs w:val="24"/>
        </w:rPr>
        <w:t>期中考核：培养对象填写《广东江门中医药职业学院“百千万人才”培养对象期中总结简表》，学院组织考核。</w:t>
      </w:r>
      <w:r>
        <w:rPr>
          <w:rFonts w:ascii="宋体" w:hAnsi="宋体" w:eastAsia="宋体" w:cs="宋体"/>
          <w:color w:val="auto"/>
          <w:kern w:val="0"/>
          <w:sz w:val="24"/>
          <w:szCs w:val="24"/>
        </w:rPr>
        <w:t xml:space="preserve"> </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2.</w:t>
      </w:r>
      <w:r>
        <w:rPr>
          <w:rFonts w:hint="eastAsia" w:ascii="宋体" w:hAnsi="宋体" w:eastAsia="宋体" w:cs="宋体"/>
          <w:color w:val="auto"/>
          <w:kern w:val="0"/>
          <w:sz w:val="24"/>
          <w:szCs w:val="24"/>
        </w:rPr>
        <w:t>期满考核：培养对象填写《广东江门中医药职业学院“百千万人才”培养对象期满总结表》。学院组织考核。</w:t>
      </w:r>
    </w:p>
    <w:p>
      <w:pPr>
        <w:widowControl/>
        <w:spacing w:line="360" w:lineRule="auto"/>
        <w:ind w:firstLine="480" w:firstLineChars="200"/>
        <w:jc w:val="left"/>
        <w:rPr>
          <w:rFonts w:ascii="宋体" w:hAnsi="Calibri" w:eastAsia="宋体" w:cs="宋体"/>
          <w:color w:val="auto"/>
          <w:kern w:val="0"/>
          <w:sz w:val="24"/>
          <w:szCs w:val="24"/>
        </w:rPr>
      </w:pPr>
      <w:r>
        <w:rPr>
          <w:rFonts w:ascii="宋体" w:hAnsi="宋体" w:eastAsia="宋体" w:cs="宋体"/>
          <w:color w:val="auto"/>
          <w:kern w:val="0"/>
          <w:sz w:val="24"/>
          <w:szCs w:val="24"/>
        </w:rPr>
        <w:t xml:space="preserve">  3.</w:t>
      </w:r>
      <w:r>
        <w:rPr>
          <w:rFonts w:hint="eastAsia" w:ascii="宋体" w:hAnsi="宋体" w:eastAsia="宋体" w:cs="宋体"/>
          <w:color w:val="auto"/>
          <w:kern w:val="0"/>
          <w:sz w:val="24"/>
          <w:szCs w:val="24"/>
        </w:rPr>
        <w:t>考核结束，学院将培养对象考核结果报主管部门存档。</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56" w:name="_Toc8788"/>
      <w:r>
        <w:rPr>
          <w:rFonts w:hint="eastAsia"/>
          <w:color w:val="auto"/>
        </w:rPr>
        <w:t>高层次技能型兼职教师聘任制度</w:t>
      </w:r>
      <w:bookmarkEnd w:id="56"/>
    </w:p>
    <w:p>
      <w:pPr>
        <w:adjustRightInd w:val="0"/>
        <w:snapToGrid w:val="0"/>
        <w:spacing w:line="360" w:lineRule="auto"/>
        <w:ind w:firstLine="480" w:firstLineChars="200"/>
        <w:rPr>
          <w:rFonts w:ascii="宋体" w:hAnsi="Calibri" w:eastAsia="宋体" w:cs="Times New Roman"/>
          <w:color w:val="auto"/>
          <w:sz w:val="24"/>
          <w:szCs w:val="24"/>
        </w:rPr>
      </w:pP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了充分利用校外人才资源，优化我院师资队伍结构，提高实践教学环节的质量，加强创新型高技能人才的培养，以“按需聘用、保证质量、合约管理、全责分明、分类管理、注重实效”为基本原则，建立一支师德高尚、业务精良、技能过硬、结构合理、相对稳定的高层次技能型兼职教师队伍，进一步规范和完善兼职教师的聘用与管理，根据《广东省高等职业院校高层次技能型人才吸引计划实施方案》（下称《实施方案》）等现有文件精神，结合我院实际情况特制定本办法。</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、高层次技能型兼职教师聘任目标</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聘任高层次技能型兼职教师着眼于引进、遴选和造就一批在国内外具有先进水平的高层次技能型专家。通过长期聘用、项目指导、学科牵头和培养人才等形式，以“不求所有，但求所用”的用人观念，广罗名师，广揽人才，建立人才引进与智力引进相结合的柔性引进机制，搭建人才梯队，组建学术和技能团队，带领相关学科达到国内先进水平，全面提升我院在省内外的影响力。</w:t>
      </w:r>
    </w:p>
    <w:p>
      <w:pPr>
        <w:widowControl/>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高层次技能型兼职教师的条件</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高层次技能型兼职教师是指学院正式聘任的，独立承担某一门专业实践课程（不含顶岗实习）教学任务的院外企（行）业中实践经验丰富的名师专家、高级技术人员或技师及能工巧匠，不包括学院内兼课的“双肩挑”教学行政人员、返聘教师以及外校的兼课教师。具体应符合以下条件：</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（一）专科以上学历，在企业一线工作且有</w:t>
      </w:r>
      <w:r>
        <w:rPr>
          <w:rFonts w:ascii="宋体" w:hAnsi="宋体" w:eastAsia="宋体" w:cs="Times New Roman"/>
          <w:color w:val="auto"/>
          <w:sz w:val="24"/>
          <w:szCs w:val="24"/>
        </w:rPr>
        <w:t>5</w:t>
      </w:r>
      <w:r>
        <w:rPr>
          <w:rFonts w:hint="eastAsia" w:ascii="宋体" w:hAnsi="宋体" w:eastAsia="宋体" w:cs="Times New Roman"/>
          <w:color w:val="auto"/>
          <w:sz w:val="24"/>
          <w:szCs w:val="24"/>
        </w:rPr>
        <w:t>年以上本专业工作经验的技术能手、能工巧匠、设计人才、管理人才等；</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（二）达到技术应用型高级职称（或具有高级技师等级）的国内外大中型企业一线技术骨干，或在社会急需的专业领域担任技术骨干，具有高级技能的应用型人才；</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（三）聘期为</w:t>
      </w:r>
      <w:r>
        <w:rPr>
          <w:rFonts w:ascii="宋体" w:hAnsi="宋体" w:eastAsia="宋体" w:cs="Times New Roman"/>
          <w:color w:val="auto"/>
          <w:sz w:val="24"/>
          <w:szCs w:val="24"/>
        </w:rPr>
        <w:t>1</w:t>
      </w:r>
      <w:r>
        <w:rPr>
          <w:rFonts w:hint="eastAsia" w:ascii="宋体" w:hAnsi="宋体" w:eastAsia="宋体" w:cs="Times New Roman"/>
          <w:color w:val="auto"/>
          <w:sz w:val="24"/>
          <w:szCs w:val="24"/>
        </w:rPr>
        <w:t>学年或以上。</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、高层次技能型兼职教师职责</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高层次技能型兼职教师应在聘用期内完成以下工作任务：</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（一）完整、</w:t>
      </w:r>
      <w:r>
        <w:rPr>
          <w:rFonts w:hint="eastAsia" w:ascii="宋体" w:hAnsi="宋体" w:eastAsia="宋体" w:cs="宋体"/>
          <w:color w:val="auto"/>
          <w:kern w:val="0"/>
          <w:sz w:val="24"/>
          <w:szCs w:val="24"/>
          <w:lang w:eastAsia="zh-CN"/>
        </w:rPr>
        <w:t>二级学院</w:t>
      </w:r>
      <w:r>
        <w:rPr>
          <w:rFonts w:hint="eastAsia" w:ascii="宋体" w:hAnsi="宋体" w:eastAsia="宋体" w:cs="宋体"/>
          <w:color w:val="auto"/>
          <w:kern w:val="0"/>
          <w:sz w:val="24"/>
          <w:szCs w:val="24"/>
        </w:rPr>
        <w:t>统地讲授一门专业实践技能（不含顶岗实习）课程，指导本专业学生的实训，向学生传授本专业生产实践所需的专业理论或专业技能，每学年教授专业课程课时数不少于</w:t>
      </w:r>
      <w:r>
        <w:rPr>
          <w:rFonts w:ascii="宋体" w:hAnsi="宋体" w:eastAsia="宋体" w:cs="宋体"/>
          <w:color w:val="auto"/>
          <w:kern w:val="0"/>
          <w:sz w:val="24"/>
          <w:szCs w:val="24"/>
        </w:rPr>
        <w:t>72</w:t>
      </w:r>
      <w:r>
        <w:rPr>
          <w:rFonts w:hint="eastAsia" w:ascii="宋体" w:hAnsi="宋体" w:eastAsia="宋体" w:cs="宋体"/>
          <w:color w:val="auto"/>
          <w:kern w:val="0"/>
          <w:sz w:val="24"/>
          <w:szCs w:val="24"/>
        </w:rPr>
        <w:t>学时；</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（二）参与专业教学改革项目的研究与实践；</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（三）参与本专业“双师”素质教学团队建设；</w:t>
      </w:r>
    </w:p>
    <w:p>
      <w:pPr>
        <w:widowControl/>
        <w:shd w:val="clear" w:color="auto" w:fill="FFFFFF"/>
        <w:spacing w:line="360" w:lineRule="auto"/>
        <w:ind w:firstLine="480" w:firstLineChars="200"/>
        <w:jc w:val="left"/>
        <w:rPr>
          <w:rFonts w:ascii="宋体" w:hAnsi="Calibri" w:eastAsia="宋体" w:cs="宋体"/>
          <w:color w:val="auto"/>
          <w:kern w:val="0"/>
          <w:sz w:val="24"/>
          <w:szCs w:val="24"/>
        </w:rPr>
      </w:pPr>
      <w:r>
        <w:rPr>
          <w:rFonts w:hint="eastAsia" w:ascii="宋体" w:hAnsi="宋体" w:eastAsia="宋体" w:cs="宋体"/>
          <w:color w:val="auto"/>
          <w:kern w:val="0"/>
          <w:sz w:val="24"/>
          <w:szCs w:val="24"/>
        </w:rPr>
        <w:t>（四）对本专业人才培养工作提出咨询意见和建议。</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四、</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高层次技能型兼职教师聘用程序</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在学年结束前，根据教学和实训实际提出下个学年需聘请的高层次技能型兼职教师人数、专业条件要求，经</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、主管院领导同意后报院办备案，同时附聘用教师有关证书及材料：</w:t>
      </w:r>
    </w:p>
    <w:p>
      <w:pPr>
        <w:adjustRightInd w:val="0"/>
        <w:snapToGrid w:val="0"/>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身份证、学历、学位、专业技术职务、技术等级、执业资格证书等复印件；</w:t>
      </w:r>
    </w:p>
    <w:p>
      <w:pPr>
        <w:adjustRightInd w:val="0"/>
        <w:snapToGrid w:val="0"/>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个人业绩等其它需提供的相关材料；</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（二）聘用人选报学院后，由学院组织相关专家进行评审，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确定拟聘人选。</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（三）对聘用人员，由</w:t>
      </w:r>
      <w:r>
        <w:rPr>
          <w:rFonts w:hint="eastAsia" w:ascii="宋体" w:hAnsi="宋体" w:eastAsia="宋体" w:cs="Times New Roman"/>
          <w:color w:val="auto"/>
          <w:sz w:val="24"/>
          <w:szCs w:val="24"/>
          <w:lang w:eastAsia="zh-CN"/>
        </w:rPr>
        <w:t>组织人事部</w:t>
      </w:r>
      <w:r>
        <w:rPr>
          <w:rFonts w:hint="eastAsia" w:ascii="宋体" w:hAnsi="宋体" w:eastAsia="宋体" w:cs="Times New Roman"/>
          <w:color w:val="auto"/>
          <w:sz w:val="24"/>
          <w:szCs w:val="24"/>
        </w:rPr>
        <w:t>办理相关聘用手续，并颁发正式聘书。</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（四）对于学院聘用的高层次兼职教师，在学院备案后，以学院名义在学院网站上发布聘用公告。</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五</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、高层次技能型兼职教师的待遇</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（一）聘任的高层次技能型兼职教师将根据其教学和科研能力、承担的教学、科研任务量和发挥的作用，享受相应的待遇。</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（二）受聘人员除按规定享受我院关于各类聘用兼职教师的待遇外，还可双方协议相关待遇。</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（三）受聘人员在我院工作期间，有权参加国家和省级科研课题申报和表彰奖励活动，享受省有关鼓励科研人员进入企业的入股、分红等政策规定。</w:t>
      </w:r>
    </w:p>
    <w:p>
      <w:pPr>
        <w:adjustRightInd w:val="0"/>
        <w:snapToGrid w:val="0"/>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六</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、高层次技能型兼职教师的管理</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（一）兼职教师由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和各聘用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负责具体的管理，</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和各聘用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要及时向兼职教师提供拟担任课程的实施性教学计划和授课计划，同时组织兼职教师学习学院教学环节的各项规章制度。</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（二）聘用学院须将兼职教师的管理纳入学院统一的教学、教研管理工作中，兼职教师应接受学院组织的各类教学、教研等考核评价和检查。</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对引进的高层次人才实行聘期目标管理。学院与引进的高层次人才通过签订聘用合同和工作任务书的办法，明确双方的责、权、利</w:t>
      </w:r>
      <w:r>
        <w:rPr>
          <w:rFonts w:hint="eastAsia" w:ascii="宋体" w:hAnsi="宋体" w:eastAsia="宋体" w:cs="Times New Roman"/>
          <w:color w:val="auto"/>
          <w:sz w:val="24"/>
          <w:szCs w:val="24"/>
          <w:lang w:eastAsia="zh-CN"/>
        </w:rPr>
        <w:t>关系</w:t>
      </w:r>
      <w:r>
        <w:rPr>
          <w:rFonts w:hint="eastAsia" w:ascii="宋体" w:hAnsi="宋体" w:eastAsia="宋体" w:cs="Times New Roman"/>
          <w:color w:val="auto"/>
          <w:sz w:val="24"/>
          <w:szCs w:val="24"/>
        </w:rPr>
        <w:t>。用人单位负责引进高层次人才的日常管理，</w:t>
      </w:r>
      <w:r>
        <w:rPr>
          <w:rFonts w:hint="eastAsia" w:ascii="宋体" w:hAnsi="宋体" w:eastAsia="宋体" w:cs="Times New Roman"/>
          <w:color w:val="auto"/>
          <w:sz w:val="24"/>
          <w:szCs w:val="24"/>
          <w:lang w:eastAsia="zh-CN"/>
        </w:rPr>
        <w:t>组织人事部</w:t>
      </w:r>
      <w:r>
        <w:rPr>
          <w:rFonts w:hint="eastAsia" w:ascii="宋体" w:hAnsi="宋体" w:eastAsia="宋体" w:cs="Times New Roman"/>
          <w:color w:val="auto"/>
          <w:sz w:val="24"/>
          <w:szCs w:val="24"/>
        </w:rPr>
        <w:t>协助用人单位对引进高层次人才进行管理。</w:t>
      </w:r>
    </w:p>
    <w:p>
      <w:pPr>
        <w:adjustRightInd w:val="0"/>
        <w:snapToGrid w:val="0"/>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在聘期结束后，应根据聘用合同和工作任务书及教师本人填写的《广东江门中医药职业学院高层次技能型兼职教师情况表》对高层次技能型兼职教师进行评估和考核，考核内容以工作业绩为主，主要考核承担科研项目情况、特色学科建设、创新团队建设中发挥的作用等。</w:t>
      </w:r>
    </w:p>
    <w:p>
      <w:pPr>
        <w:spacing w:line="360" w:lineRule="auto"/>
        <w:rPr>
          <w:rFonts w:ascii="宋体" w:hAnsi="Calibri" w:eastAsia="宋体" w:cs="Times New Roman"/>
          <w:color w:val="auto"/>
          <w:sz w:val="24"/>
          <w:szCs w:val="24"/>
        </w:rPr>
      </w:pPr>
    </w:p>
    <w:p>
      <w:pPr>
        <w:widowControl/>
        <w:jc w:val="left"/>
        <w:rPr>
          <w:rFonts w:ascii="宋体" w:hAnsi="Calibri" w:eastAsia="宋体" w:cs="Times New Roman"/>
          <w:color w:val="auto"/>
          <w:sz w:val="24"/>
          <w:szCs w:val="24"/>
        </w:rPr>
      </w:pPr>
    </w:p>
    <w:p>
      <w:pPr>
        <w:spacing w:line="360" w:lineRule="auto"/>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57" w:name="_Toc21596"/>
      <w:r>
        <w:rPr>
          <w:rFonts w:hint="eastAsia"/>
          <w:color w:val="auto"/>
        </w:rPr>
        <w:t>专业领军人才培养方案</w:t>
      </w:r>
      <w:bookmarkEnd w:id="57"/>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为加强我院教师队伍建设，培养一批本院的高等职业教育领军人才和行业大师（下称专业领军人才），根据国家中医药管理局关于印发《中医药传承与创新“百千万”人才工程（岐黄工程）</w:t>
      </w:r>
      <w:r>
        <w:rPr>
          <w:rFonts w:ascii="宋体" w:hAnsi="宋体" w:eastAsia="宋体" w:cs="Times New Roman"/>
          <w:color w:val="auto"/>
          <w:sz w:val="24"/>
          <w:szCs w:val="24"/>
        </w:rPr>
        <w:t>——</w:t>
      </w:r>
      <w:r>
        <w:rPr>
          <w:rFonts w:hint="eastAsia" w:ascii="宋体" w:hAnsi="宋体" w:eastAsia="宋体" w:cs="Times New Roman"/>
          <w:color w:val="auto"/>
          <w:sz w:val="24"/>
          <w:szCs w:val="24"/>
        </w:rPr>
        <w:t>国家中医药领军人才支持计划》（国中医药人教发〔</w:t>
      </w:r>
      <w:r>
        <w:rPr>
          <w:rFonts w:ascii="宋体" w:hAnsi="宋体" w:eastAsia="宋体" w:cs="Times New Roman"/>
          <w:color w:val="auto"/>
          <w:sz w:val="24"/>
          <w:szCs w:val="24"/>
        </w:rPr>
        <w:t>2018</w:t>
      </w:r>
      <w:r>
        <w:rPr>
          <w:rFonts w:hint="eastAsia" w:ascii="宋体" w:hAnsi="宋体" w:eastAsia="宋体" w:cs="Times New Roman"/>
          <w:color w:val="auto"/>
          <w:sz w:val="24"/>
          <w:szCs w:val="24"/>
        </w:rPr>
        <w:t>〕</w:t>
      </w:r>
      <w:r>
        <w:rPr>
          <w:rFonts w:ascii="宋体" w:hAnsi="宋体" w:eastAsia="宋体" w:cs="Times New Roman"/>
          <w:color w:val="auto"/>
          <w:sz w:val="24"/>
          <w:szCs w:val="24"/>
        </w:rPr>
        <w:t>12</w:t>
      </w:r>
      <w:r>
        <w:rPr>
          <w:rFonts w:hint="eastAsia" w:ascii="宋体" w:hAnsi="宋体" w:eastAsia="宋体" w:cs="Times New Roman"/>
          <w:color w:val="auto"/>
          <w:sz w:val="24"/>
          <w:szCs w:val="24"/>
        </w:rPr>
        <w:t>号）和广东省教育厅《关于印发广东省“强师工程”实施方案的通知》（粤教师〔</w:t>
      </w:r>
      <w:r>
        <w:rPr>
          <w:rFonts w:ascii="宋体" w:hAnsi="宋体" w:eastAsia="宋体" w:cs="Times New Roman"/>
          <w:color w:val="auto"/>
          <w:sz w:val="24"/>
          <w:szCs w:val="24"/>
        </w:rPr>
        <w:t>2012</w:t>
      </w:r>
      <w:r>
        <w:rPr>
          <w:rFonts w:hint="eastAsia" w:ascii="宋体" w:hAnsi="宋体" w:eastAsia="宋体" w:cs="Times New Roman"/>
          <w:color w:val="auto"/>
          <w:sz w:val="24"/>
          <w:szCs w:val="24"/>
        </w:rPr>
        <w:t>〕</w:t>
      </w:r>
      <w:r>
        <w:rPr>
          <w:rFonts w:ascii="宋体" w:hAnsi="宋体" w:eastAsia="宋体" w:cs="Times New Roman"/>
          <w:color w:val="auto"/>
          <w:sz w:val="24"/>
          <w:szCs w:val="24"/>
        </w:rPr>
        <w:t>10</w:t>
      </w:r>
      <w:r>
        <w:rPr>
          <w:rFonts w:hint="eastAsia" w:ascii="宋体" w:hAnsi="宋体" w:eastAsia="宋体" w:cs="Times New Roman"/>
          <w:color w:val="auto"/>
          <w:sz w:val="24"/>
          <w:szCs w:val="24"/>
        </w:rPr>
        <w:t>号）的文件精神，特制定本方案。</w:t>
      </w:r>
    </w:p>
    <w:p>
      <w:pPr>
        <w:spacing w:line="360" w:lineRule="auto"/>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第一章</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总则</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第一条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为贯彻落实习近平新时代中国特色社会主义思想和党的十九大精神</w:t>
      </w:r>
      <w:r>
        <w:rPr>
          <w:rFonts w:ascii="宋体" w:hAnsi="Calibri" w:eastAsia="宋体" w:cs="Times New Roman"/>
          <w:color w:val="auto"/>
          <w:sz w:val="24"/>
          <w:szCs w:val="24"/>
        </w:rPr>
        <w:t>,</w:t>
      </w:r>
      <w:r>
        <w:rPr>
          <w:rFonts w:hint="eastAsia" w:ascii="宋体" w:hAnsi="宋体" w:eastAsia="宋体" w:cs="Times New Roman"/>
          <w:color w:val="auto"/>
          <w:sz w:val="24"/>
          <w:szCs w:val="24"/>
        </w:rPr>
        <w:t>加快实施人才强校战略，推进我院专业领军人才队伍建设，学院决定组织实施本院专业领军人才培养计划。</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第二条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通过实施专业领军人才培养计划</w:t>
      </w:r>
      <w:r>
        <w:rPr>
          <w:rFonts w:ascii="宋体" w:hAnsi="宋体" w:eastAsia="宋体" w:cs="Times New Roman"/>
          <w:color w:val="auto"/>
          <w:sz w:val="24"/>
          <w:szCs w:val="24"/>
        </w:rPr>
        <w:t>(</w:t>
      </w:r>
      <w:r>
        <w:rPr>
          <w:rFonts w:hint="eastAsia" w:ascii="宋体" w:hAnsi="宋体" w:eastAsia="宋体" w:cs="Times New Roman"/>
          <w:color w:val="auto"/>
          <w:sz w:val="24"/>
          <w:szCs w:val="24"/>
        </w:rPr>
        <w:t>以下简称“本计划”</w:t>
      </w:r>
      <w:r>
        <w:rPr>
          <w:rFonts w:ascii="宋体" w:hAnsi="宋体" w:eastAsia="宋体" w:cs="Times New Roman"/>
          <w:color w:val="auto"/>
          <w:sz w:val="24"/>
          <w:szCs w:val="24"/>
        </w:rPr>
        <w:t>)</w:t>
      </w:r>
      <w:r>
        <w:rPr>
          <w:rFonts w:hint="eastAsia" w:ascii="宋体" w:hAnsi="宋体" w:eastAsia="宋体" w:cs="Times New Roman"/>
          <w:color w:val="auto"/>
          <w:sz w:val="24"/>
          <w:szCs w:val="24"/>
        </w:rPr>
        <w:t>，探索建立本院领军人才选拔、培养和使用制度。</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第三条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实施本计划旨在贯彻落实学院培养高层次人才的相关计划和制度，创造有利于领军人才成长和发展环境，充分发挥领军人才的引领带动作用，推动本院教师队伍建设和我省中医药事业传承发展。</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第四条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实施本计划遵循以下原则：</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一</w:t>
      </w:r>
      <w:r>
        <w:rPr>
          <w:rFonts w:ascii="宋体" w:hAnsi="宋体" w:eastAsia="宋体" w:cs="Times New Roman"/>
          <w:color w:val="auto"/>
          <w:sz w:val="24"/>
          <w:szCs w:val="24"/>
        </w:rPr>
        <w:t>)</w:t>
      </w:r>
      <w:r>
        <w:rPr>
          <w:rFonts w:hint="eastAsia" w:ascii="宋体" w:hAnsi="宋体" w:eastAsia="宋体" w:cs="Times New Roman"/>
          <w:color w:val="auto"/>
          <w:sz w:val="24"/>
          <w:szCs w:val="24"/>
        </w:rPr>
        <w:t>坚持遵循规律。遵循专业人才成长规律，坚持在传承中创新、在创新中发展，坚持人才培养带动专业发展，专业发展推动学院发展思维。</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二</w:t>
      </w:r>
      <w:r>
        <w:rPr>
          <w:rFonts w:ascii="宋体" w:hAnsi="宋体" w:eastAsia="宋体" w:cs="Times New Roman"/>
          <w:color w:val="auto"/>
          <w:sz w:val="24"/>
          <w:szCs w:val="24"/>
        </w:rPr>
        <w:t>)</w:t>
      </w:r>
      <w:r>
        <w:rPr>
          <w:rFonts w:hint="eastAsia" w:ascii="宋体" w:hAnsi="宋体" w:eastAsia="宋体" w:cs="Times New Roman"/>
          <w:color w:val="auto"/>
          <w:sz w:val="24"/>
          <w:szCs w:val="24"/>
        </w:rPr>
        <w:t>坚持需求导向。围绕中医药事业和健康服务业发展需求，将专业领军人才培养与中医药事业和健康服务业重点发展需求紧密结合，引导专业领军人才在推进专业和学院发展中锻炼成长，在成长中为专业和学院发展发挥重要作用。</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三</w:t>
      </w:r>
      <w:r>
        <w:rPr>
          <w:rFonts w:ascii="宋体" w:hAnsi="宋体" w:eastAsia="宋体" w:cs="Times New Roman"/>
          <w:color w:val="auto"/>
          <w:sz w:val="24"/>
          <w:szCs w:val="24"/>
        </w:rPr>
        <w:t>)</w:t>
      </w:r>
      <w:r>
        <w:rPr>
          <w:rFonts w:hint="eastAsia" w:ascii="宋体" w:hAnsi="宋体" w:eastAsia="宋体" w:cs="Times New Roman"/>
          <w:color w:val="auto"/>
          <w:sz w:val="24"/>
          <w:szCs w:val="24"/>
        </w:rPr>
        <w:t>坚持机制创新。通过本计划的实施，进一步创新和完善高层次专业人才发现、培养、使用、评价和激励等机制，推动我院人才工作体制机制创新，营造有利于人才发展的良好环境。</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四</w:t>
      </w:r>
      <w:r>
        <w:rPr>
          <w:rFonts w:ascii="宋体" w:hAnsi="宋体" w:eastAsia="宋体" w:cs="Times New Roman"/>
          <w:color w:val="auto"/>
          <w:sz w:val="24"/>
          <w:szCs w:val="24"/>
        </w:rPr>
        <w:t>)</w:t>
      </w:r>
      <w:r>
        <w:rPr>
          <w:rFonts w:hint="eastAsia" w:ascii="宋体" w:hAnsi="宋体" w:eastAsia="宋体" w:cs="Times New Roman"/>
          <w:color w:val="auto"/>
          <w:sz w:val="24"/>
          <w:szCs w:val="24"/>
        </w:rPr>
        <w:t>坚持统筹协调。树立全局意识，统筹兼顾，支持专业领军人才的研究方向与产业、企业对接，推进学院产教融合，提高学院服务社会能力。</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第五条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围绕学院发展和创新强院战略部署实施本计划，各专业分别遴选</w:t>
      </w:r>
      <w:r>
        <w:rPr>
          <w:rFonts w:ascii="宋体" w:hAnsi="宋体" w:eastAsia="宋体" w:cs="Times New Roman"/>
          <w:color w:val="auto"/>
          <w:sz w:val="24"/>
          <w:szCs w:val="24"/>
        </w:rPr>
        <w:t>1---2</w:t>
      </w:r>
      <w:r>
        <w:rPr>
          <w:rFonts w:hint="eastAsia" w:ascii="宋体" w:hAnsi="宋体" w:eastAsia="宋体" w:cs="Times New Roman"/>
          <w:color w:val="auto"/>
          <w:sz w:val="24"/>
          <w:szCs w:val="24"/>
        </w:rPr>
        <w:t>名领军人才培养对象，逐步形成和不断壮大支撑本院发展的高层次人才团队，为学院建设作出更大贡献。</w:t>
      </w:r>
    </w:p>
    <w:p>
      <w:pPr>
        <w:spacing w:line="360" w:lineRule="auto"/>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第二章遴选条件</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第六条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专业领军人才应当同时具备以下遴选条件：</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一</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品德高尚，热爱教育事业，具有一定科研能力，坚持学术传承与创新，严守学术道德规范，坚持求真务实和勇于创新的科学精神。</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二</w:t>
      </w:r>
      <w:r>
        <w:rPr>
          <w:rFonts w:ascii="宋体" w:hAnsi="宋体" w:eastAsia="宋体" w:cs="Times New Roman"/>
          <w:color w:val="auto"/>
          <w:sz w:val="24"/>
          <w:szCs w:val="24"/>
        </w:rPr>
        <w:t>)</w:t>
      </w:r>
      <w:r>
        <w:rPr>
          <w:rFonts w:hint="eastAsia" w:ascii="宋体" w:hAnsi="宋体" w:eastAsia="宋体" w:cs="Times New Roman"/>
          <w:color w:val="auto"/>
          <w:sz w:val="24"/>
          <w:szCs w:val="24"/>
        </w:rPr>
        <w:t>年龄未满</w:t>
      </w:r>
      <w:r>
        <w:rPr>
          <w:rFonts w:ascii="宋体" w:hAnsi="宋体" w:eastAsia="宋体" w:cs="Times New Roman"/>
          <w:color w:val="auto"/>
          <w:sz w:val="24"/>
          <w:szCs w:val="24"/>
        </w:rPr>
        <w:t>55</w:t>
      </w:r>
      <w:r>
        <w:rPr>
          <w:rFonts w:hint="eastAsia" w:ascii="宋体" w:hAnsi="宋体" w:eastAsia="宋体" w:cs="Times New Roman"/>
          <w:color w:val="auto"/>
          <w:sz w:val="24"/>
          <w:szCs w:val="24"/>
        </w:rPr>
        <w:t>周岁。</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三</w:t>
      </w:r>
      <w:r>
        <w:rPr>
          <w:rFonts w:ascii="宋体" w:hAnsi="宋体" w:eastAsia="宋体" w:cs="Times New Roman"/>
          <w:color w:val="auto"/>
          <w:sz w:val="24"/>
          <w:szCs w:val="24"/>
        </w:rPr>
        <w:t>)</w:t>
      </w:r>
      <w:r>
        <w:rPr>
          <w:rFonts w:hint="eastAsia" w:ascii="宋体" w:hAnsi="宋体" w:eastAsia="宋体" w:cs="Times New Roman"/>
          <w:color w:val="auto"/>
          <w:sz w:val="24"/>
          <w:szCs w:val="24"/>
        </w:rPr>
        <w:t>具有副高级专业技术职称及以上。</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四</w:t>
      </w:r>
      <w:r>
        <w:rPr>
          <w:rFonts w:ascii="宋体" w:hAnsi="宋体" w:eastAsia="宋体" w:cs="Times New Roman"/>
          <w:color w:val="auto"/>
          <w:sz w:val="24"/>
          <w:szCs w:val="24"/>
        </w:rPr>
        <w:t>)</w:t>
      </w:r>
      <w:r>
        <w:rPr>
          <w:rFonts w:hint="eastAsia" w:ascii="宋体" w:hAnsi="宋体" w:eastAsia="宋体" w:cs="Times New Roman"/>
          <w:color w:val="auto"/>
          <w:sz w:val="24"/>
          <w:szCs w:val="24"/>
        </w:rPr>
        <w:t>长期从事教学与科研实践工作，有丰富独到的学术经验和技术专长，教学和科研能力突出。</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五</w:t>
      </w:r>
      <w:r>
        <w:rPr>
          <w:rFonts w:ascii="宋体" w:hAnsi="宋体" w:eastAsia="宋体" w:cs="Times New Roman"/>
          <w:color w:val="auto"/>
          <w:sz w:val="24"/>
          <w:szCs w:val="24"/>
        </w:rPr>
        <w:t>)</w:t>
      </w:r>
      <w:r>
        <w:rPr>
          <w:rFonts w:hint="eastAsia" w:ascii="宋体" w:hAnsi="宋体" w:eastAsia="宋体" w:cs="Times New Roman"/>
          <w:color w:val="auto"/>
          <w:sz w:val="24"/>
          <w:szCs w:val="24"/>
        </w:rPr>
        <w:t>专业理论扎实，具有一定学术成果，在全省或全国有重一定术影响力，具有引领本专业发展的能力。主持并完成市级及以上专业或教学研究项目或课题。撰写并出版与本人研究领域相关、体现本人学术思想或研究成果的专著，或在国内外期刊发表与本人专业领域相关、体现本人学术思想或研究成果的高水平学术论文。</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第七条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申报专业领军人才符合以下条件的，在同等条件下优先入选：</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一</w:t>
      </w:r>
      <w:r>
        <w:rPr>
          <w:rFonts w:ascii="宋体" w:hAnsi="宋体" w:eastAsia="宋体" w:cs="Times New Roman"/>
          <w:color w:val="auto"/>
          <w:sz w:val="24"/>
          <w:szCs w:val="24"/>
        </w:rPr>
        <w:t>)</w:t>
      </w:r>
      <w:r>
        <w:rPr>
          <w:rFonts w:hint="eastAsia" w:ascii="宋体" w:hAnsi="宋体" w:eastAsia="宋体" w:cs="Times New Roman"/>
          <w:color w:val="auto"/>
          <w:sz w:val="24"/>
          <w:szCs w:val="24"/>
        </w:rPr>
        <w:t>国家级或省市级中医药传承人；</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二</w:t>
      </w:r>
      <w:r>
        <w:rPr>
          <w:rFonts w:ascii="宋体" w:hAnsi="宋体" w:eastAsia="宋体" w:cs="Times New Roman"/>
          <w:color w:val="auto"/>
          <w:sz w:val="24"/>
          <w:szCs w:val="24"/>
        </w:rPr>
        <w:t>)</w:t>
      </w:r>
      <w:r>
        <w:rPr>
          <w:rFonts w:hint="eastAsia" w:ascii="宋体" w:hAnsi="宋体" w:eastAsia="宋体" w:cs="Times New Roman"/>
          <w:color w:val="auto"/>
          <w:sz w:val="24"/>
          <w:szCs w:val="24"/>
        </w:rPr>
        <w:t>国家或省级重大科研计划项目</w:t>
      </w:r>
      <w:r>
        <w:rPr>
          <w:rFonts w:ascii="宋体" w:hAnsi="宋体" w:eastAsia="宋体" w:cs="Times New Roman"/>
          <w:color w:val="auto"/>
          <w:sz w:val="24"/>
          <w:szCs w:val="24"/>
        </w:rPr>
        <w:t>(</w:t>
      </w:r>
      <w:r>
        <w:rPr>
          <w:rFonts w:hint="eastAsia" w:ascii="宋体" w:hAnsi="宋体" w:eastAsia="宋体" w:cs="Times New Roman"/>
          <w:color w:val="auto"/>
          <w:sz w:val="24"/>
          <w:szCs w:val="24"/>
        </w:rPr>
        <w:t>课题</w:t>
      </w:r>
      <w:r>
        <w:rPr>
          <w:rFonts w:ascii="宋体" w:hAnsi="宋体" w:eastAsia="宋体" w:cs="Times New Roman"/>
          <w:color w:val="auto"/>
          <w:sz w:val="24"/>
          <w:szCs w:val="24"/>
        </w:rPr>
        <w:t>)</w:t>
      </w:r>
      <w:r>
        <w:rPr>
          <w:rFonts w:hint="eastAsia" w:ascii="宋体" w:hAnsi="宋体" w:eastAsia="宋体" w:cs="Times New Roman"/>
          <w:color w:val="auto"/>
          <w:sz w:val="24"/>
          <w:szCs w:val="24"/>
        </w:rPr>
        <w:t>负责人或入选国家级、省级人才项目的人员</w:t>
      </w:r>
      <w:r>
        <w:rPr>
          <w:rFonts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三</w:t>
      </w:r>
      <w:r>
        <w:rPr>
          <w:rFonts w:ascii="宋体" w:hAnsi="宋体" w:eastAsia="宋体" w:cs="Times New Roman"/>
          <w:color w:val="auto"/>
          <w:sz w:val="24"/>
          <w:szCs w:val="24"/>
        </w:rPr>
        <w:t>)</w:t>
      </w:r>
      <w:r>
        <w:rPr>
          <w:rFonts w:hint="eastAsia" w:ascii="宋体" w:hAnsi="宋体" w:eastAsia="宋体" w:cs="Times New Roman"/>
          <w:color w:val="auto"/>
          <w:sz w:val="24"/>
          <w:szCs w:val="24"/>
        </w:rPr>
        <w:t>国家级、省级中医药管理局重点学科专业带头人或重点专科学术带头人。</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第八条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遴选重点考虑以下几个方面：</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一</w:t>
      </w:r>
      <w:r>
        <w:rPr>
          <w:rFonts w:ascii="宋体" w:hAnsi="宋体" w:eastAsia="宋体" w:cs="Times New Roman"/>
          <w:color w:val="auto"/>
          <w:sz w:val="24"/>
          <w:szCs w:val="24"/>
        </w:rPr>
        <w:t>)</w:t>
      </w:r>
      <w:r>
        <w:rPr>
          <w:rFonts w:hint="eastAsia" w:ascii="宋体" w:hAnsi="宋体" w:eastAsia="宋体" w:cs="Times New Roman"/>
          <w:color w:val="auto"/>
          <w:sz w:val="24"/>
          <w:szCs w:val="24"/>
        </w:rPr>
        <w:t>前期工作基础、领衔团队建设、发展能力、人才培养规划等</w:t>
      </w:r>
      <w:r>
        <w:rPr>
          <w:rFonts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二</w:t>
      </w:r>
      <w:r>
        <w:rPr>
          <w:rFonts w:ascii="宋体" w:hAnsi="宋体" w:eastAsia="宋体" w:cs="Times New Roman"/>
          <w:color w:val="auto"/>
          <w:sz w:val="24"/>
          <w:szCs w:val="24"/>
        </w:rPr>
        <w:t>)</w:t>
      </w:r>
      <w:r>
        <w:rPr>
          <w:rFonts w:hint="eastAsia" w:ascii="宋体" w:hAnsi="宋体" w:eastAsia="宋体" w:cs="Times New Roman"/>
          <w:color w:val="auto"/>
          <w:sz w:val="24"/>
          <w:szCs w:val="24"/>
        </w:rPr>
        <w:t>研究内容或方向的创新性和科学价值，是否符合中医药发展、学院发展或专业发展急需解决的重大问题、重点方向或重点领域</w:t>
      </w:r>
      <w:r>
        <w:rPr>
          <w:rFonts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三</w:t>
      </w:r>
      <w:r>
        <w:rPr>
          <w:rFonts w:ascii="宋体" w:hAnsi="宋体" w:eastAsia="宋体" w:cs="Times New Roman"/>
          <w:color w:val="auto"/>
          <w:sz w:val="24"/>
          <w:szCs w:val="24"/>
        </w:rPr>
        <w:t>)</w:t>
      </w:r>
      <w:r>
        <w:rPr>
          <w:rFonts w:hint="eastAsia" w:ascii="宋体" w:hAnsi="宋体" w:eastAsia="宋体" w:cs="Times New Roman"/>
          <w:color w:val="auto"/>
          <w:sz w:val="24"/>
          <w:szCs w:val="24"/>
        </w:rPr>
        <w:t>对本学科领域或者相关学科领域发展的推动作用</w:t>
      </w:r>
      <w:r>
        <w:rPr>
          <w:rFonts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w:t>
      </w:r>
      <w:r>
        <w:rPr>
          <w:rFonts w:hint="eastAsia" w:ascii="宋体" w:hAnsi="宋体" w:eastAsia="宋体" w:cs="Times New Roman"/>
          <w:color w:val="auto"/>
          <w:sz w:val="24"/>
          <w:szCs w:val="24"/>
        </w:rPr>
        <w:t>四</w:t>
      </w:r>
      <w:r>
        <w:rPr>
          <w:rFonts w:ascii="宋体" w:hAnsi="宋体" w:eastAsia="宋体" w:cs="Times New Roman"/>
          <w:color w:val="auto"/>
          <w:sz w:val="24"/>
          <w:szCs w:val="24"/>
        </w:rPr>
        <w:t>)</w:t>
      </w:r>
      <w:r>
        <w:rPr>
          <w:rFonts w:hint="eastAsia" w:ascii="宋体" w:hAnsi="宋体" w:eastAsia="宋体" w:cs="Times New Roman"/>
          <w:color w:val="auto"/>
          <w:sz w:val="24"/>
          <w:szCs w:val="24"/>
        </w:rPr>
        <w:t>预期研究成果对中医药事业或专业发展的影响。</w:t>
      </w:r>
    </w:p>
    <w:p>
      <w:pPr>
        <w:spacing w:line="360" w:lineRule="auto"/>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第三章</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任务保障</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第九条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专业领军人才应结合所从事研究领域，围绕专业发展需求和重点问题，开展创新性、探索性和应用性研究，加强团队建设。</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专业领军人才应积极推动解决专业相关领域发展中面临的临床或科研难题，形成行业内外有较大影响力的标志性成果，专业研究和产业服务能力明显提升，成为行业领军人才。</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第十一条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专业领军人才安排人均不高于一定的经费支持，用于自主选题研究、学习交流、人才培养和团队建设等。经费使用管理按照学院有关制度文件执行。</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第十二条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充分专业领军人才在重大项目攻关、学科建设和人才培养中的作用。鼓励和支持专业领军人才承担省级及以上重大科技项目、重点建设专项、重点学科、重点专科等重大建设任务，以项目实施提升专业领军人才传承与创新能力，带动人才培养和团队建设。</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第十三条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委托相关机构组织对专业领军人才进行专题培训，鼓励专业领军人才参加高层次的政治、经济、管理等方面的理论知识培训，拓宽学术视野，提高创新能力。通过组织选派或自行联</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方式，选派专业领军人才到国内外知名大学、研究机构、企业担任高级访问学者，或到省级及以上重点学科、重点实验室等学习进修。</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第十四条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设立专业领军人才工作室，实行领军人才负责制，组建创新团队，开展专业人才培养。</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第十五条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学院主管部门应加强支持政策的配套衔接，整合资源优势，形成支持合力。专业领军人才在申报重大研究计划、重大成果转化、重点学科、重点专科建设等项目时，优先推荐。充分发挥专业领军人才依托单位的主体作用，鼓励支持他们参加国内外学术交流等活动，并在时间和经费上给予保证，优先推荐中医药领军人才申报享受政府特殊津贴、国家或省级有突出贡献专家。</w:t>
      </w:r>
    </w:p>
    <w:p>
      <w:pPr>
        <w:spacing w:line="360" w:lineRule="auto"/>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第四章</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考核评价</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第十六条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学院为管理主体，可以根据实际需求委托组织院专家委员会进行评价管理。</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第十七条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本计划入选者制定个人、团队、学术、科研等方面的发展计划，提出明确的发展目标、年度目标和工作计划，经逐级审核同意后，与学院签订任务书，作为考核与评价的主要依据。</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第十八条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本计划实施周期为期</w:t>
      </w:r>
      <w:r>
        <w:rPr>
          <w:rFonts w:ascii="宋体" w:hAnsi="宋体" w:eastAsia="宋体" w:cs="Times New Roman"/>
          <w:color w:val="auto"/>
          <w:sz w:val="24"/>
          <w:szCs w:val="24"/>
        </w:rPr>
        <w:t>3</w:t>
      </w:r>
      <w:r>
        <w:rPr>
          <w:rFonts w:hint="eastAsia" w:ascii="宋体" w:hAnsi="宋体" w:eastAsia="宋体" w:cs="Times New Roman"/>
          <w:color w:val="auto"/>
          <w:sz w:val="24"/>
          <w:szCs w:val="24"/>
        </w:rPr>
        <w:t>年一个周期，为创造宽松的学术传承与创新环境，考核评价采取中期考核、终期评价的方式进行。</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第十九条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对获得入选资格，但在工作中违反职业道德、学术不端造成不良社会影响，或获得本计划支持后发现不符合本计划要求的，学院调查核实后予以撤除。</w:t>
      </w:r>
    </w:p>
    <w:p>
      <w:pPr>
        <w:spacing w:line="360" w:lineRule="auto"/>
        <w:ind w:firstLine="482" w:firstLineChars="200"/>
        <w:jc w:val="center"/>
        <w:rPr>
          <w:rFonts w:ascii="宋体" w:hAnsi="Calibri" w:eastAsia="宋体" w:cs="Times New Roman"/>
          <w:b/>
          <w:color w:val="auto"/>
          <w:sz w:val="24"/>
          <w:szCs w:val="24"/>
        </w:rPr>
      </w:pPr>
      <w:r>
        <w:rPr>
          <w:rFonts w:hint="eastAsia" w:ascii="宋体" w:hAnsi="宋体" w:eastAsia="宋体" w:cs="Times New Roman"/>
          <w:b/>
          <w:color w:val="auto"/>
          <w:sz w:val="24"/>
          <w:szCs w:val="24"/>
        </w:rPr>
        <w:t>第五章</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组织实施</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第二十条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本计划由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负责组织实施，并成立相应的评审机制、评价机制和监督机制，负责本计划的组织实施、过程管理和全程监督，严肃查处本计划实施过程中的违纪违规行为，确保本计划公信力。</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第二十一条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学院</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统领各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负责本计划入选者的培养、使用、管理、服务等具体工作，为专业领军人才成长和发挥作用提供必要工作条件和团队支持。</w:t>
      </w:r>
    </w:p>
    <w:p>
      <w:pPr>
        <w:widowControl/>
        <w:jc w:val="left"/>
        <w:rPr>
          <w:rFonts w:ascii="宋体" w:hAnsi="Calibri" w:eastAsia="宋体" w:cs="Times New Roman"/>
          <w:b/>
          <w:bCs/>
          <w:color w:val="auto"/>
          <w:kern w:val="28"/>
          <w:sz w:val="32"/>
          <w:szCs w:val="32"/>
        </w:rPr>
      </w:pPr>
      <w:r>
        <w:rPr>
          <w:rFonts w:ascii="宋体" w:hAnsi="Calibri" w:eastAsia="宋体" w:cs="Times New Roman"/>
          <w:color w:val="auto"/>
        </w:rPr>
        <w:br w:type="page"/>
      </w:r>
    </w:p>
    <w:p>
      <w:pPr>
        <w:pStyle w:val="3"/>
        <w:bidi w:val="0"/>
        <w:jc w:val="center"/>
        <w:rPr>
          <w:color w:val="auto"/>
        </w:rPr>
      </w:pPr>
      <w:bookmarkStart w:id="58" w:name="_Toc4974"/>
      <w:r>
        <w:rPr>
          <w:rFonts w:hint="eastAsia"/>
          <w:color w:val="auto"/>
        </w:rPr>
        <w:t>骨干教师评选管理办法</w:t>
      </w:r>
      <w:bookmarkEnd w:id="58"/>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为培养造就一支具有较高水平的教师队伍，提高我院师资队伍的整体实力，逐步建设一支师德高尚、业务精良、结构合理的教师队伍，促进我院人才培养质量不断提高，结合我院发展实际，特制定本办法。</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、选拔原则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（一）德才兼备原则。选拔对象应具有高尚的师德和良好的学科、专业素养。</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（二）注重实绩原则。选拔对象应在教学、科研、学科建设工作中业绩突出。</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（三）竞聘上岗原则。依据建设任务目标，通过竞聘方式选拔上岗。</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（四）动态管理原则。建立专业带头人任期考核制度，实行淘汰制，动态管理。</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、选拔条件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骨干教师是教学和专业建设的中坚，评选应从师德高尚、责任心强、学识广博、教学科研成绩突出的教师中遴选，应具备下列必备条件：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（一）遵纪守法，具有强烈的事业心和责任感，进取心强，敬业爱岗，教书育人，为人师表，治学严谨，学术端正，具有高尚的师德，教学效果良好；</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（二）具有良好的职业道德和敬业精神，积极承担并完成教学和其他工作任务。师德考核良好以上。</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（三）具有大学本科及以上学历，从事教学工作五年及以上，具有中级专业技术职务或相关的职业资格证书。</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（四）理论较扎实、知识面较广，能较好地讲授本专业（学科）课程，教学质量较高，教学成绩优良（同学科排前列）。</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（五）近三年年均教学工作量中层干部达</w:t>
      </w:r>
      <w:r>
        <w:rPr>
          <w:rFonts w:ascii="宋体" w:hAnsi="宋体" w:eastAsia="宋体" w:cs="Times New Roman"/>
          <w:color w:val="auto"/>
          <w:sz w:val="24"/>
          <w:szCs w:val="24"/>
        </w:rPr>
        <w:t>100</w:t>
      </w:r>
      <w:r>
        <w:rPr>
          <w:rFonts w:hint="eastAsia" w:ascii="宋体" w:hAnsi="宋体" w:eastAsia="宋体" w:cs="Times New Roman"/>
          <w:color w:val="auto"/>
          <w:sz w:val="24"/>
          <w:szCs w:val="24"/>
        </w:rPr>
        <w:t>学时以上，其他教师在</w:t>
      </w:r>
      <w:r>
        <w:rPr>
          <w:rFonts w:ascii="宋体" w:hAnsi="宋体" w:eastAsia="宋体" w:cs="Times New Roman"/>
          <w:color w:val="auto"/>
          <w:sz w:val="24"/>
          <w:szCs w:val="24"/>
        </w:rPr>
        <w:t>300</w:t>
      </w:r>
      <w:r>
        <w:rPr>
          <w:rFonts w:hint="eastAsia" w:ascii="宋体" w:hAnsi="宋体" w:eastAsia="宋体" w:cs="Times New Roman"/>
          <w:color w:val="auto"/>
          <w:sz w:val="24"/>
          <w:szCs w:val="24"/>
        </w:rPr>
        <w:t>学时以上（兼职课教师</w:t>
      </w:r>
      <w:r>
        <w:rPr>
          <w:rFonts w:ascii="宋体" w:hAnsi="宋体" w:eastAsia="宋体" w:cs="Times New Roman"/>
          <w:color w:val="auto"/>
          <w:sz w:val="24"/>
          <w:szCs w:val="24"/>
        </w:rPr>
        <w:t>150</w:t>
      </w:r>
      <w:r>
        <w:rPr>
          <w:rFonts w:hint="eastAsia" w:ascii="宋体" w:hAnsi="宋体" w:eastAsia="宋体" w:cs="Times New Roman"/>
          <w:color w:val="auto"/>
          <w:sz w:val="24"/>
          <w:szCs w:val="24"/>
        </w:rPr>
        <w:t>学时以上）。</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（六）参与院级教学改革试验项目或院级课程建设工作，成绩突出。</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（七）关注本专业（学科）前沿动态，能及时提出有关专业（学科）建设的意见和建议；</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（八）具有较强的组织和协调能力，办事公道，善于团结，威信较高；身体健康，精力充沛，作风民主，能够听取各种不同意见；有能力带领本学科全体成员完成任期内的学科建设任务。</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、选聘程序</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为保证骨干教师评选工作的严肃性、公正性。评选聘任、解聘按下列程序进行：</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（一）个人申请；符合条件的教师向学院提出书面申请。</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推荐：</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根据本办法的评选条件，在充分讨论、比较的基础上，确定本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推荐人选，填写《广东江门中医药职业学院骨干教师审批表》，并加注推荐意见后交</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（三）学院审定，</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汇总各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推荐人选情况，经组织院教学工作委员会评审通过后，报主管院长审定并公示。</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（四）聘任：公示期无异议者，由办公室办理聘任手续，颁发聘书。</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（五）骨干教师聘期为两年，可连续聘任。</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（六）骨干教师的评选根据我院专业建设及发展情况确定，原则上每个学科确定一名，需增加名额的由学院提出申请，经院教学工作委员会研究后可增加评聘名额。</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（七）骨干教师的评选聘任要坚持高标准、严要求，宁缺毋滥，本学科教师条件暂时不达标准的，可保留名额。</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四</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、考核与管理</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（一）教师要填写《骨干教师登记表》，一式三份。办公室、</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、学院各存一份。</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（二）骨干教师的日常管理由所在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负责，年度考核、培养周期内考核由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根据骨干教师的岗位职责进行年度检查和评价。</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（三）聘任期间，要对骨干教师进行单独的考核。骨干教师在培养周期内发生下列情况之一者，解除培养资格并取消待遇：</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 xml:space="preserve">1. </w:t>
      </w:r>
      <w:r>
        <w:rPr>
          <w:rFonts w:hint="eastAsia" w:ascii="宋体" w:hAnsi="宋体" w:eastAsia="宋体" w:cs="Times New Roman"/>
          <w:color w:val="auto"/>
          <w:sz w:val="24"/>
          <w:szCs w:val="24"/>
        </w:rPr>
        <w:t>在任期内不能完成相应职责。</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 xml:space="preserve">2. </w:t>
      </w:r>
      <w:r>
        <w:rPr>
          <w:rFonts w:hint="eastAsia" w:ascii="宋体" w:hAnsi="宋体" w:eastAsia="宋体" w:cs="Times New Roman"/>
          <w:color w:val="auto"/>
          <w:sz w:val="24"/>
          <w:szCs w:val="24"/>
        </w:rPr>
        <w:t>严重违反国家法律和学院有关规章制度。</w:t>
      </w:r>
    </w:p>
    <w:p>
      <w:pPr>
        <w:spacing w:line="360" w:lineRule="auto"/>
        <w:ind w:firstLine="480" w:firstLineChars="200"/>
        <w:rPr>
          <w:rFonts w:ascii="宋体" w:hAnsi="Calibri" w:eastAsia="宋体" w:cs="Times New Roman"/>
          <w:color w:val="auto"/>
          <w:sz w:val="24"/>
          <w:szCs w:val="24"/>
        </w:rPr>
      </w:pPr>
      <w:r>
        <w:rPr>
          <w:rFonts w:ascii="宋体" w:hAnsi="宋体" w:eastAsia="宋体" w:cs="Times New Roman"/>
          <w:color w:val="auto"/>
          <w:sz w:val="24"/>
          <w:szCs w:val="24"/>
        </w:rPr>
        <w:t xml:space="preserve">3. </w:t>
      </w:r>
      <w:r>
        <w:rPr>
          <w:rFonts w:hint="eastAsia" w:ascii="宋体" w:hAnsi="宋体" w:eastAsia="宋体" w:cs="Times New Roman"/>
          <w:color w:val="auto"/>
          <w:sz w:val="24"/>
          <w:szCs w:val="24"/>
        </w:rPr>
        <w:t>其行为给学院造成了不良影响和重大经济损失。</w:t>
      </w:r>
    </w:p>
    <w:p>
      <w:pPr>
        <w:spacing w:line="360" w:lineRule="auto"/>
        <w:rPr>
          <w:rFonts w:ascii="宋体" w:hAnsi="Calibri" w:eastAsia="宋体" w:cs="Times New Roman"/>
          <w:color w:val="auto"/>
          <w:sz w:val="24"/>
          <w:szCs w:val="24"/>
        </w:rPr>
      </w:pPr>
      <w:r>
        <w:rPr>
          <w:rFonts w:hint="eastAsia" w:ascii="宋体" w:hAnsi="宋体" w:eastAsia="宋体" w:cs="Times New Roman"/>
          <w:color w:val="auto"/>
          <w:sz w:val="24"/>
          <w:szCs w:val="24"/>
        </w:rPr>
        <w:t>解聘程序为：推荐部门建议，学院教学工作委员会审核，主管院长审定，办公室办理解聘手续，并以学院文件的形式公布。</w:t>
      </w:r>
    </w:p>
    <w:p>
      <w:pPr>
        <w:pStyle w:val="3"/>
        <w:bidi w:val="0"/>
        <w:jc w:val="center"/>
        <w:rPr>
          <w:color w:val="auto"/>
        </w:rPr>
      </w:pPr>
      <w:bookmarkStart w:id="59" w:name="_Toc13036"/>
      <w:r>
        <w:rPr>
          <w:rFonts w:hint="eastAsia"/>
          <w:color w:val="auto"/>
        </w:rPr>
        <w:t>师资培训管理制度</w:t>
      </w:r>
      <w:bookmarkEnd w:id="59"/>
    </w:p>
    <w:p>
      <w:pPr>
        <w:widowControl/>
        <w:spacing w:line="360" w:lineRule="auto"/>
        <w:ind w:firstLine="480" w:firstLineChars="200"/>
        <w:rPr>
          <w:rFonts w:ascii="宋体" w:hAnsi="Calibri" w:eastAsia="宋体" w:cs="Times New Roman"/>
          <w:color w:val="auto"/>
          <w:kern w:val="0"/>
          <w:sz w:val="24"/>
          <w:szCs w:val="24"/>
        </w:rPr>
      </w:pP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为了加强学院师资队伍建设，多渠道提高教师业务素质</w:t>
      </w:r>
      <w:r>
        <w:rPr>
          <w:rFonts w:ascii="宋体" w:hAnsi="Calibri" w:eastAsia="宋体" w:cs="Times New Roman"/>
          <w:color w:val="auto"/>
          <w:kern w:val="0"/>
          <w:sz w:val="24"/>
          <w:szCs w:val="24"/>
        </w:rPr>
        <w:t>,</w:t>
      </w:r>
      <w:r>
        <w:rPr>
          <w:rFonts w:hint="eastAsia" w:ascii="宋体" w:hAnsi="宋体" w:eastAsia="宋体" w:cs="Times New Roman"/>
          <w:color w:val="auto"/>
          <w:kern w:val="0"/>
          <w:sz w:val="24"/>
          <w:szCs w:val="24"/>
        </w:rPr>
        <w:t>提高教师培训进修的质量和效益</w:t>
      </w:r>
      <w:r>
        <w:rPr>
          <w:rFonts w:ascii="宋体" w:hAnsi="Calibri" w:eastAsia="宋体" w:cs="Times New Roman"/>
          <w:color w:val="auto"/>
          <w:kern w:val="0"/>
          <w:sz w:val="24"/>
          <w:szCs w:val="24"/>
        </w:rPr>
        <w:t>,</w:t>
      </w:r>
      <w:r>
        <w:rPr>
          <w:rFonts w:hint="eastAsia" w:ascii="宋体" w:hAnsi="宋体" w:eastAsia="宋体" w:cs="Times New Roman"/>
          <w:color w:val="auto"/>
          <w:kern w:val="0"/>
          <w:sz w:val="24"/>
          <w:szCs w:val="24"/>
        </w:rPr>
        <w:t>使教师培训进修的管理工作进一步规范化，以适应学院教学和发展的需要，现结合学院实际，特制订本制度。</w:t>
      </w:r>
    </w:p>
    <w:p>
      <w:pPr>
        <w:widowControl/>
        <w:spacing w:line="360" w:lineRule="auto"/>
        <w:ind w:firstLine="482" w:firstLineChars="200"/>
        <w:rPr>
          <w:rFonts w:ascii="宋体" w:hAnsi="Calibri" w:eastAsia="宋体" w:cs="Times New Roman"/>
          <w:color w:val="auto"/>
          <w:kern w:val="0"/>
          <w:sz w:val="24"/>
          <w:szCs w:val="24"/>
        </w:rPr>
      </w:pPr>
      <w:r>
        <w:rPr>
          <w:rFonts w:hint="eastAsia" w:ascii="宋体" w:hAnsi="宋体" w:eastAsia="宋体" w:cs="Times New Roman"/>
          <w:b/>
          <w:bCs/>
          <w:color w:val="auto"/>
          <w:kern w:val="0"/>
          <w:sz w:val="24"/>
          <w:szCs w:val="24"/>
        </w:rPr>
        <w:t>一、培训进修的原则</w:t>
      </w:r>
    </w:p>
    <w:p>
      <w:pPr>
        <w:widowControl/>
        <w:spacing w:line="360" w:lineRule="auto"/>
        <w:ind w:firstLine="480" w:firstLineChars="200"/>
        <w:rPr>
          <w:rFonts w:ascii="宋体" w:hAnsi="Calibri" w:eastAsia="宋体" w:cs="宋体"/>
          <w:color w:val="auto"/>
          <w:kern w:val="0"/>
          <w:sz w:val="24"/>
          <w:szCs w:val="24"/>
        </w:rPr>
      </w:pPr>
      <w:r>
        <w:rPr>
          <w:rFonts w:hint="eastAsia" w:ascii="宋体" w:hAnsi="宋体" w:eastAsia="宋体" w:cs="宋体"/>
          <w:color w:val="auto"/>
          <w:kern w:val="0"/>
          <w:sz w:val="24"/>
          <w:szCs w:val="24"/>
        </w:rPr>
        <w:t>（一）坚持按需培训，在职学习、学用一致，注重实效的原则；</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（二）坚持新专业优先，新课程优先，重点学科和精品课程优先；各</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青年骨干教师优先的原则；</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（三）坚持经费预算，统筹兼顾，分期分批选派的原则。</w:t>
      </w:r>
    </w:p>
    <w:p>
      <w:pPr>
        <w:widowControl/>
        <w:spacing w:line="360" w:lineRule="auto"/>
        <w:ind w:firstLine="482" w:firstLineChars="200"/>
        <w:rPr>
          <w:rFonts w:ascii="宋体" w:hAnsi="Calibri" w:eastAsia="宋体" w:cs="Times New Roman"/>
          <w:color w:val="auto"/>
          <w:kern w:val="0"/>
          <w:sz w:val="24"/>
          <w:szCs w:val="24"/>
        </w:rPr>
      </w:pPr>
      <w:r>
        <w:rPr>
          <w:rFonts w:hint="eastAsia" w:ascii="宋体" w:hAnsi="宋体" w:eastAsia="宋体" w:cs="Times New Roman"/>
          <w:b/>
          <w:bCs/>
          <w:color w:val="auto"/>
          <w:kern w:val="0"/>
          <w:sz w:val="24"/>
          <w:szCs w:val="24"/>
        </w:rPr>
        <w:t>二、培训进修的类型和选派的条件</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（一）参加培训进修人员的基本条件</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1.</w:t>
      </w:r>
      <w:r>
        <w:rPr>
          <w:rFonts w:hint="eastAsia" w:ascii="宋体" w:hAnsi="宋体" w:eastAsia="宋体" w:cs="Times New Roman"/>
          <w:color w:val="auto"/>
          <w:kern w:val="0"/>
          <w:sz w:val="24"/>
          <w:szCs w:val="24"/>
        </w:rPr>
        <w:t>政治素质好，业务水平高，遵纪守法</w:t>
      </w:r>
      <w:r>
        <w:rPr>
          <w:rFonts w:ascii="宋体" w:hAnsi="Calibri" w:eastAsia="宋体" w:cs="Times New Roman"/>
          <w:color w:val="auto"/>
          <w:kern w:val="0"/>
          <w:sz w:val="24"/>
          <w:szCs w:val="24"/>
        </w:rPr>
        <w:t>,</w:t>
      </w:r>
      <w:r>
        <w:rPr>
          <w:rFonts w:hint="eastAsia" w:ascii="宋体" w:hAnsi="宋体" w:eastAsia="宋体" w:cs="Times New Roman"/>
          <w:color w:val="auto"/>
          <w:kern w:val="0"/>
          <w:sz w:val="24"/>
          <w:szCs w:val="24"/>
        </w:rPr>
        <w:t>具有奉献精神，愿为学院建设发展长期服务。</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2.</w:t>
      </w:r>
      <w:r>
        <w:rPr>
          <w:rFonts w:hint="eastAsia" w:ascii="宋体" w:hAnsi="宋体" w:eastAsia="宋体" w:cs="Times New Roman"/>
          <w:color w:val="auto"/>
          <w:kern w:val="0"/>
          <w:sz w:val="24"/>
          <w:szCs w:val="24"/>
        </w:rPr>
        <w:t>服从组织安排，工作认真负责，工作成绩显著，教学效果优良</w:t>
      </w:r>
      <w:r>
        <w:rPr>
          <w:rFonts w:ascii="宋体" w:hAnsi="Calibri" w:eastAsia="宋体" w:cs="Times New Roman"/>
          <w:color w:val="auto"/>
          <w:kern w:val="0"/>
          <w:sz w:val="24"/>
          <w:szCs w:val="24"/>
        </w:rPr>
        <w:t>,</w:t>
      </w:r>
      <w:r>
        <w:rPr>
          <w:rFonts w:hint="eastAsia" w:ascii="宋体" w:hAnsi="宋体" w:eastAsia="宋体" w:cs="Times New Roman"/>
          <w:color w:val="auto"/>
          <w:kern w:val="0"/>
          <w:sz w:val="24"/>
          <w:szCs w:val="24"/>
        </w:rPr>
        <w:t>每年能较好地完成本职工作。</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3.</w:t>
      </w:r>
      <w:r>
        <w:rPr>
          <w:rFonts w:hint="eastAsia" w:ascii="宋体" w:hAnsi="宋体" w:eastAsia="宋体" w:cs="Times New Roman"/>
          <w:color w:val="auto"/>
          <w:kern w:val="0"/>
          <w:sz w:val="24"/>
          <w:szCs w:val="24"/>
        </w:rPr>
        <w:t>学习内容符合学院学科（专业）建设发展等需要，且纳入学院年度进修培训计划</w:t>
      </w:r>
      <w:r>
        <w:rPr>
          <w:rFonts w:ascii="宋体" w:hAnsi="宋体" w:eastAsia="宋体" w:cs="Times New Roman"/>
          <w:color w:val="auto"/>
          <w:kern w:val="0"/>
          <w:sz w:val="24"/>
          <w:szCs w:val="24"/>
        </w:rPr>
        <w:t>(</w:t>
      </w:r>
      <w:r>
        <w:rPr>
          <w:rFonts w:hint="eastAsia" w:ascii="宋体" w:hAnsi="宋体" w:eastAsia="宋体" w:cs="Times New Roman"/>
          <w:color w:val="auto"/>
          <w:kern w:val="0"/>
          <w:sz w:val="24"/>
          <w:szCs w:val="24"/>
        </w:rPr>
        <w:t>上级临时指派性培训除外</w:t>
      </w:r>
      <w:r>
        <w:rPr>
          <w:rFonts w:ascii="宋体" w:hAnsi="宋体" w:eastAsia="宋体" w:cs="Times New Roman"/>
          <w:color w:val="auto"/>
          <w:kern w:val="0"/>
          <w:sz w:val="24"/>
          <w:szCs w:val="24"/>
        </w:rPr>
        <w:t>)</w:t>
      </w:r>
      <w:r>
        <w:rPr>
          <w:rFonts w:hint="eastAsia" w:ascii="宋体" w:hAnsi="宋体" w:eastAsia="宋体" w:cs="Times New Roman"/>
          <w:color w:val="auto"/>
          <w:kern w:val="0"/>
          <w:sz w:val="24"/>
          <w:szCs w:val="24"/>
        </w:rPr>
        <w:t>。</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（二）培训进修的类型</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1</w:t>
      </w:r>
      <w:r>
        <w:rPr>
          <w:rFonts w:ascii="宋体" w:hAnsi="Calibri" w:eastAsia="宋体" w:cs="Times New Roman"/>
          <w:color w:val="auto"/>
          <w:kern w:val="0"/>
          <w:sz w:val="24"/>
          <w:szCs w:val="24"/>
        </w:rPr>
        <w:t>.</w:t>
      </w:r>
      <w:r>
        <w:rPr>
          <w:rFonts w:hint="eastAsia" w:ascii="宋体" w:hAnsi="宋体" w:eastAsia="宋体" w:cs="Times New Roman"/>
          <w:color w:val="auto"/>
          <w:kern w:val="0"/>
          <w:sz w:val="24"/>
          <w:szCs w:val="24"/>
        </w:rPr>
        <w:t>国内访问学者</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在学院连续工作满</w:t>
      </w:r>
      <w:r>
        <w:rPr>
          <w:rFonts w:ascii="宋体" w:hAnsi="宋体" w:eastAsia="宋体" w:cs="Times New Roman"/>
          <w:color w:val="auto"/>
          <w:kern w:val="0"/>
          <w:sz w:val="24"/>
          <w:szCs w:val="24"/>
        </w:rPr>
        <w:t>5</w:t>
      </w:r>
      <w:r>
        <w:rPr>
          <w:rFonts w:hint="eastAsia" w:ascii="宋体" w:hAnsi="宋体" w:eastAsia="宋体" w:cs="Times New Roman"/>
          <w:color w:val="auto"/>
          <w:kern w:val="0"/>
          <w:sz w:val="24"/>
          <w:szCs w:val="24"/>
        </w:rPr>
        <w:t>年，政治业务素质优良，具备坚实的基础理论和专业知识，有较高学术水平的教学骨干；具备讲师以上职称的教师，符合学科（专业）建设发展需要，在工作安排不受影响的情况下，经学院研究，可选派参加与科研课题相关的访问学者进修。</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2.</w:t>
      </w:r>
      <w:r>
        <w:rPr>
          <w:rFonts w:hint="eastAsia" w:ascii="宋体" w:hAnsi="宋体" w:eastAsia="宋体" w:cs="Times New Roman"/>
          <w:color w:val="auto"/>
          <w:kern w:val="0"/>
          <w:sz w:val="24"/>
          <w:szCs w:val="24"/>
        </w:rPr>
        <w:t>省级以上教育主管部门举办的高校中青年骨干教师培训</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依据省级及以上相关教育主管部门文件要求，并经学院研究确定送培对象。</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3.</w:t>
      </w:r>
      <w:r>
        <w:rPr>
          <w:rFonts w:hint="eastAsia" w:ascii="宋体" w:hAnsi="宋体" w:eastAsia="宋体" w:cs="Times New Roman"/>
          <w:color w:val="auto"/>
          <w:kern w:val="0"/>
          <w:sz w:val="24"/>
          <w:szCs w:val="24"/>
        </w:rPr>
        <w:t>单科课程进修</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对于新开课程、精品课程或请外聘教师较困难的课程，由学院根据教学需要，选派具有中级以上专业技术职务和相关专业的教师参加课程进修，回学院后承担相应的教学任务和课题建设工作。</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4.</w:t>
      </w:r>
      <w:r>
        <w:rPr>
          <w:rFonts w:hint="eastAsia" w:ascii="宋体" w:hAnsi="宋体" w:eastAsia="宋体" w:cs="Times New Roman"/>
          <w:color w:val="auto"/>
          <w:kern w:val="0"/>
          <w:sz w:val="24"/>
          <w:szCs w:val="24"/>
        </w:rPr>
        <w:t>到一线企、事业单位顶岗实习</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根据上级要求，实践性较强的专业教师利用假期到对口的企业、医院岗位实践。学院规定四十五岁以下无五年医院临床工作或医药企业经历的专业教师，每年岗位实践时间不得少于</w:t>
      </w:r>
      <w:r>
        <w:rPr>
          <w:rFonts w:ascii="宋体" w:hAnsi="宋体" w:eastAsia="宋体" w:cs="Times New Roman"/>
          <w:color w:val="auto"/>
          <w:kern w:val="0"/>
          <w:sz w:val="24"/>
          <w:szCs w:val="24"/>
        </w:rPr>
        <w:t>30</w:t>
      </w:r>
      <w:r>
        <w:rPr>
          <w:rFonts w:hint="eastAsia" w:ascii="宋体" w:hAnsi="宋体" w:eastAsia="宋体" w:cs="Times New Roman"/>
          <w:color w:val="auto"/>
          <w:kern w:val="0"/>
          <w:sz w:val="24"/>
          <w:szCs w:val="24"/>
        </w:rPr>
        <w:t>天，获得教师资格证及相关专业执业资格证的教师（双师型）参加岗位实践，一次性每天补助</w:t>
      </w:r>
      <w:r>
        <w:rPr>
          <w:rFonts w:ascii="宋体" w:hAnsi="宋体" w:eastAsia="宋体" w:cs="Times New Roman"/>
          <w:color w:val="auto"/>
          <w:kern w:val="0"/>
          <w:sz w:val="24"/>
          <w:szCs w:val="24"/>
        </w:rPr>
        <w:t>50</w:t>
      </w:r>
      <w:r>
        <w:rPr>
          <w:rFonts w:hint="eastAsia" w:ascii="宋体" w:hAnsi="宋体" w:eastAsia="宋体" w:cs="Times New Roman"/>
          <w:color w:val="auto"/>
          <w:kern w:val="0"/>
          <w:sz w:val="24"/>
          <w:szCs w:val="24"/>
        </w:rPr>
        <w:t>元，不再报销其他费用。</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5.</w:t>
      </w:r>
      <w:r>
        <w:rPr>
          <w:rFonts w:hint="eastAsia" w:ascii="宋体" w:hAnsi="宋体" w:eastAsia="宋体" w:cs="Times New Roman"/>
          <w:color w:val="auto"/>
          <w:kern w:val="0"/>
          <w:sz w:val="24"/>
          <w:szCs w:val="24"/>
        </w:rPr>
        <w:t>其它各类培训（含青年教师岗前培训、教育技术培训、双语教学培训等，根据上级相关文件和学院教学需要选派。）</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（三）下列人员原则上不安排培训进修：</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1.</w:t>
      </w:r>
      <w:r>
        <w:rPr>
          <w:rFonts w:hint="eastAsia" w:ascii="宋体" w:hAnsi="宋体" w:eastAsia="宋体" w:cs="Times New Roman"/>
          <w:color w:val="auto"/>
          <w:kern w:val="0"/>
          <w:sz w:val="24"/>
          <w:szCs w:val="24"/>
        </w:rPr>
        <w:t>在见习期或试用期内的人员（教师岗前培训、新进人员培训除外）；</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2.</w:t>
      </w:r>
      <w:r>
        <w:rPr>
          <w:rFonts w:hint="eastAsia" w:ascii="宋体" w:hAnsi="宋体" w:eastAsia="宋体" w:cs="Times New Roman"/>
          <w:color w:val="auto"/>
          <w:kern w:val="0"/>
          <w:sz w:val="24"/>
          <w:szCs w:val="24"/>
        </w:rPr>
        <w:t>不服从工作分配或未完成规定工作任务的人员；</w:t>
      </w:r>
    </w:p>
    <w:p>
      <w:pPr>
        <w:widowControl/>
        <w:spacing w:line="360" w:lineRule="auto"/>
        <w:ind w:firstLine="480" w:firstLineChars="200"/>
        <w:rPr>
          <w:rFonts w:ascii="宋体" w:hAnsi="Calibri" w:eastAsia="宋体" w:cs="Times New Roman"/>
          <w:color w:val="auto"/>
          <w:kern w:val="0"/>
          <w:sz w:val="24"/>
          <w:szCs w:val="24"/>
        </w:rPr>
      </w:pPr>
      <w:r>
        <w:rPr>
          <w:rFonts w:ascii="宋体" w:hAnsi="宋体" w:eastAsia="宋体" w:cs="Times New Roman"/>
          <w:color w:val="auto"/>
          <w:kern w:val="0"/>
          <w:sz w:val="24"/>
          <w:szCs w:val="24"/>
        </w:rPr>
        <w:t>3.</w:t>
      </w:r>
      <w:r>
        <w:rPr>
          <w:rFonts w:hint="eastAsia" w:ascii="宋体" w:hAnsi="宋体" w:eastAsia="宋体" w:cs="Times New Roman"/>
          <w:color w:val="auto"/>
          <w:kern w:val="0"/>
          <w:sz w:val="24"/>
          <w:szCs w:val="24"/>
        </w:rPr>
        <w:t>教学质量差或有严重教学事故的人员。</w:t>
      </w:r>
    </w:p>
    <w:p>
      <w:pPr>
        <w:widowControl/>
        <w:spacing w:line="360" w:lineRule="auto"/>
        <w:ind w:firstLine="482" w:firstLineChars="200"/>
        <w:rPr>
          <w:rFonts w:ascii="宋体" w:hAnsi="Calibri" w:eastAsia="宋体" w:cs="Times New Roman"/>
          <w:color w:val="auto"/>
          <w:kern w:val="0"/>
          <w:sz w:val="24"/>
          <w:szCs w:val="24"/>
        </w:rPr>
      </w:pPr>
      <w:r>
        <w:rPr>
          <w:rFonts w:hint="eastAsia" w:ascii="宋体" w:hAnsi="宋体" w:eastAsia="宋体" w:cs="Times New Roman"/>
          <w:b/>
          <w:bCs/>
          <w:color w:val="auto"/>
          <w:kern w:val="0"/>
          <w:sz w:val="24"/>
          <w:szCs w:val="24"/>
        </w:rPr>
        <w:t>三、培训进修的审批程序</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（一）各</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（部）根据当年教师队伍建设的发展规划，拟定培训进修需求计划表，确定培训项目，于每年的</w:t>
      </w:r>
      <w:r>
        <w:rPr>
          <w:rFonts w:ascii="宋体" w:hAnsi="宋体" w:eastAsia="宋体" w:cs="Times New Roman"/>
          <w:color w:val="auto"/>
          <w:kern w:val="0"/>
          <w:sz w:val="24"/>
          <w:szCs w:val="24"/>
        </w:rPr>
        <w:t>3</w:t>
      </w:r>
      <w:r>
        <w:rPr>
          <w:rFonts w:hint="eastAsia" w:ascii="宋体" w:hAnsi="宋体" w:eastAsia="宋体" w:cs="Times New Roman"/>
          <w:color w:val="auto"/>
          <w:kern w:val="0"/>
          <w:sz w:val="24"/>
          <w:szCs w:val="24"/>
        </w:rPr>
        <w:t>月报</w:t>
      </w:r>
      <w:r>
        <w:rPr>
          <w:rFonts w:hint="eastAsia" w:ascii="宋体" w:hAnsi="宋体" w:eastAsia="宋体" w:cs="Times New Roman"/>
          <w:color w:val="auto"/>
          <w:kern w:val="0"/>
          <w:sz w:val="24"/>
          <w:szCs w:val="24"/>
          <w:lang w:eastAsia="zh-CN"/>
        </w:rPr>
        <w:t>教务部</w:t>
      </w:r>
      <w:r>
        <w:rPr>
          <w:rFonts w:hint="eastAsia" w:ascii="宋体" w:hAnsi="宋体" w:eastAsia="宋体" w:cs="Times New Roman"/>
          <w:color w:val="auto"/>
          <w:kern w:val="0"/>
          <w:sz w:val="24"/>
          <w:szCs w:val="24"/>
        </w:rPr>
        <w:t>。为了保证正常的教学秩序，进修人数原则上每学期不超过专任教师总数的</w:t>
      </w:r>
      <w:r>
        <w:rPr>
          <w:rFonts w:ascii="宋体" w:hAnsi="宋体" w:eastAsia="宋体" w:cs="Times New Roman"/>
          <w:color w:val="auto"/>
          <w:kern w:val="0"/>
          <w:sz w:val="24"/>
          <w:szCs w:val="24"/>
        </w:rPr>
        <w:t>5%(</w:t>
      </w:r>
      <w:r>
        <w:rPr>
          <w:rFonts w:hint="eastAsia" w:ascii="宋体" w:hAnsi="宋体" w:eastAsia="宋体" w:cs="Times New Roman"/>
          <w:color w:val="auto"/>
          <w:kern w:val="0"/>
          <w:sz w:val="24"/>
          <w:szCs w:val="24"/>
        </w:rPr>
        <w:t>不含岗前培训人员</w:t>
      </w:r>
      <w:r>
        <w:rPr>
          <w:rFonts w:ascii="宋体" w:hAnsi="宋体" w:eastAsia="宋体" w:cs="Times New Roman"/>
          <w:color w:val="auto"/>
          <w:kern w:val="0"/>
          <w:sz w:val="24"/>
          <w:szCs w:val="24"/>
        </w:rPr>
        <w:t>)</w:t>
      </w:r>
      <w:r>
        <w:rPr>
          <w:rFonts w:hint="eastAsia" w:ascii="宋体" w:hAnsi="宋体" w:eastAsia="宋体" w:cs="Times New Roman"/>
          <w:color w:val="auto"/>
          <w:kern w:val="0"/>
          <w:sz w:val="24"/>
          <w:szCs w:val="24"/>
        </w:rPr>
        <w:t>。</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（二）凡符合条件申请培训进修的教师，根据培训计划向</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（部）提出书面申请，并填写《广东江门中医药职业学院进修培训申请表》，经所在</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（部）研究后，报</w:t>
      </w:r>
      <w:r>
        <w:rPr>
          <w:rFonts w:hint="eastAsia" w:ascii="宋体" w:hAnsi="宋体" w:eastAsia="宋体" w:cs="Times New Roman"/>
          <w:color w:val="auto"/>
          <w:kern w:val="0"/>
          <w:sz w:val="24"/>
          <w:szCs w:val="24"/>
          <w:lang w:eastAsia="zh-CN"/>
        </w:rPr>
        <w:t>教务部</w:t>
      </w:r>
      <w:r>
        <w:rPr>
          <w:rFonts w:hint="eastAsia" w:ascii="宋体" w:hAnsi="宋体" w:eastAsia="宋体" w:cs="Times New Roman"/>
          <w:color w:val="auto"/>
          <w:kern w:val="0"/>
          <w:sz w:val="24"/>
          <w:szCs w:val="24"/>
        </w:rPr>
        <w:t>。</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（三）</w:t>
      </w:r>
      <w:r>
        <w:rPr>
          <w:rFonts w:hint="eastAsia" w:ascii="宋体" w:hAnsi="宋体" w:eastAsia="宋体" w:cs="Times New Roman"/>
          <w:color w:val="auto"/>
          <w:kern w:val="0"/>
          <w:sz w:val="24"/>
          <w:szCs w:val="24"/>
          <w:lang w:eastAsia="zh-CN"/>
        </w:rPr>
        <w:t>教务部</w:t>
      </w:r>
      <w:r>
        <w:rPr>
          <w:rFonts w:hint="eastAsia" w:ascii="宋体" w:hAnsi="宋体" w:eastAsia="宋体" w:cs="Times New Roman"/>
          <w:color w:val="auto"/>
          <w:kern w:val="0"/>
          <w:sz w:val="24"/>
          <w:szCs w:val="24"/>
        </w:rPr>
        <w:t>、科研处等相关职能部门，根据学院学科（专业）建设发展需要和经费的安排，统筹全院的培训计划，提交学院审定后，将同意送培人员计划下达到各</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（四）经学院批准的培训人员，须在进修前持有效证明（培训通知，招生章程，访问学者项目书）到</w:t>
      </w:r>
      <w:r>
        <w:rPr>
          <w:rFonts w:hint="eastAsia" w:ascii="宋体" w:hAnsi="宋体" w:eastAsia="宋体" w:cs="Times New Roman"/>
          <w:color w:val="auto"/>
          <w:kern w:val="0"/>
          <w:sz w:val="24"/>
          <w:szCs w:val="24"/>
          <w:lang w:eastAsia="zh-CN"/>
        </w:rPr>
        <w:t>教务部</w:t>
      </w:r>
      <w:r>
        <w:rPr>
          <w:rFonts w:hint="eastAsia" w:ascii="宋体" w:hAnsi="宋体" w:eastAsia="宋体" w:cs="Times New Roman"/>
          <w:color w:val="auto"/>
          <w:kern w:val="0"/>
          <w:sz w:val="24"/>
          <w:szCs w:val="24"/>
        </w:rPr>
        <w:t>登记备案，办理培训登记手续。</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（五）进修学习返回后，应及时向</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汇报学习情况，并须将进修成绩、结业证明、个人总结等材料复印件交</w:t>
      </w:r>
      <w:r>
        <w:rPr>
          <w:rFonts w:hint="eastAsia" w:ascii="宋体" w:hAnsi="宋体" w:eastAsia="宋体" w:cs="Times New Roman"/>
          <w:color w:val="auto"/>
          <w:kern w:val="0"/>
          <w:sz w:val="24"/>
          <w:szCs w:val="24"/>
          <w:lang w:eastAsia="zh-CN"/>
        </w:rPr>
        <w:t>教务部</w:t>
      </w:r>
      <w:r>
        <w:rPr>
          <w:rFonts w:hint="eastAsia" w:ascii="宋体" w:hAnsi="宋体" w:eastAsia="宋体" w:cs="Times New Roman"/>
          <w:color w:val="auto"/>
          <w:kern w:val="0"/>
          <w:sz w:val="24"/>
          <w:szCs w:val="24"/>
        </w:rPr>
        <w:t>验收存档，</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应安排进修人员作进修业务汇报，介绍所学新知识，新技术，必要时可安排学术讲座。</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（六）教师进修培训按计划进行，计划外一般不派出。对无法预见的、上级指派型进修培训，经相关职能部门和分管院领导同意后，也可以派出。</w:t>
      </w:r>
    </w:p>
    <w:p>
      <w:pPr>
        <w:widowControl/>
        <w:spacing w:line="360" w:lineRule="auto"/>
        <w:ind w:firstLine="482" w:firstLineChars="200"/>
        <w:rPr>
          <w:rFonts w:ascii="宋体" w:hAnsi="Calibri" w:eastAsia="宋体" w:cs="Times New Roman"/>
          <w:color w:val="auto"/>
          <w:kern w:val="0"/>
          <w:sz w:val="24"/>
          <w:szCs w:val="24"/>
        </w:rPr>
      </w:pPr>
      <w:r>
        <w:rPr>
          <w:rFonts w:hint="eastAsia" w:ascii="宋体" w:hAnsi="宋体" w:eastAsia="宋体" w:cs="Times New Roman"/>
          <w:b/>
          <w:bCs/>
          <w:color w:val="auto"/>
          <w:kern w:val="0"/>
          <w:sz w:val="24"/>
          <w:szCs w:val="24"/>
        </w:rPr>
        <w:t>四、培训进修的管理</w:t>
      </w:r>
    </w:p>
    <w:p>
      <w:pPr>
        <w:widowControl/>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（一）各种短期进修培训原则上安排在寒暑假，均不减免工作量。</w:t>
      </w:r>
    </w:p>
    <w:p>
      <w:pPr>
        <w:spacing w:line="360" w:lineRule="auto"/>
        <w:ind w:firstLine="480" w:firstLineChars="200"/>
        <w:rPr>
          <w:rFonts w:ascii="宋体" w:hAnsi="Calibri" w:eastAsia="宋体" w:cs="Times New Roman"/>
          <w:color w:val="auto"/>
          <w:kern w:val="0"/>
          <w:sz w:val="24"/>
          <w:szCs w:val="24"/>
        </w:rPr>
      </w:pPr>
      <w:r>
        <w:rPr>
          <w:rFonts w:hint="eastAsia" w:ascii="宋体" w:hAnsi="宋体" w:eastAsia="宋体" w:cs="Times New Roman"/>
          <w:color w:val="auto"/>
          <w:kern w:val="0"/>
          <w:sz w:val="24"/>
          <w:szCs w:val="24"/>
        </w:rPr>
        <w:t>（二）外出进修期间应遵守进修单位的规章制度，认真完成进修任务，严守纪律、树立良好形象，不能擅自离开学习岗位，遇到特殊情况应及时与学院</w:t>
      </w:r>
      <w:r>
        <w:rPr>
          <w:rFonts w:hint="eastAsia" w:ascii="宋体" w:hAnsi="宋体" w:eastAsia="宋体" w:cs="Times New Roman"/>
          <w:color w:val="auto"/>
          <w:kern w:val="0"/>
          <w:sz w:val="24"/>
          <w:szCs w:val="24"/>
          <w:lang w:eastAsia="zh-CN"/>
        </w:rPr>
        <w:t>教务部</w:t>
      </w:r>
      <w:r>
        <w:rPr>
          <w:rFonts w:hint="eastAsia" w:ascii="宋体" w:hAnsi="宋体" w:eastAsia="宋体" w:cs="Times New Roman"/>
          <w:color w:val="auto"/>
          <w:kern w:val="0"/>
          <w:sz w:val="24"/>
          <w:szCs w:val="24"/>
        </w:rPr>
        <w:t>联</w:t>
      </w:r>
      <w:r>
        <w:rPr>
          <w:rFonts w:hint="eastAsia" w:ascii="宋体" w:hAnsi="宋体" w:eastAsia="宋体" w:cs="Times New Roman"/>
          <w:color w:val="auto"/>
          <w:kern w:val="0"/>
          <w:sz w:val="24"/>
          <w:szCs w:val="24"/>
          <w:lang w:eastAsia="zh-CN"/>
        </w:rPr>
        <w:t>二级学院</w:t>
      </w:r>
      <w:r>
        <w:rPr>
          <w:rFonts w:hint="eastAsia" w:ascii="宋体" w:hAnsi="宋体" w:eastAsia="宋体" w:cs="Times New Roman"/>
          <w:color w:val="auto"/>
          <w:kern w:val="0"/>
          <w:sz w:val="24"/>
          <w:szCs w:val="24"/>
        </w:rPr>
        <w:t>。</w:t>
      </w:r>
    </w:p>
    <w:p>
      <w:pPr>
        <w:spacing w:line="360" w:lineRule="auto"/>
        <w:ind w:firstLine="480" w:firstLineChars="200"/>
        <w:rPr>
          <w:rFonts w:ascii="宋体" w:hAnsi="Calibri" w:eastAsia="宋体" w:cs="Times New Roman"/>
          <w:color w:val="auto"/>
          <w:kern w:val="0"/>
          <w:sz w:val="24"/>
          <w:szCs w:val="24"/>
        </w:rPr>
      </w:pPr>
    </w:p>
    <w:p>
      <w:pPr>
        <w:widowControl/>
        <w:jc w:val="left"/>
        <w:rPr>
          <w:rFonts w:ascii="宋体" w:hAnsi="Calibri" w:eastAsia="宋体" w:cs="Times New Roman"/>
          <w:color w:val="auto"/>
          <w:kern w:val="0"/>
          <w:sz w:val="24"/>
          <w:szCs w:val="24"/>
        </w:rPr>
      </w:pPr>
      <w:r>
        <w:rPr>
          <w:rFonts w:ascii="宋体" w:hAnsi="Calibri" w:eastAsia="宋体" w:cs="Times New Roman"/>
          <w:color w:val="auto"/>
          <w:kern w:val="0"/>
          <w:sz w:val="24"/>
          <w:szCs w:val="24"/>
        </w:rPr>
        <w:br w:type="page"/>
      </w:r>
    </w:p>
    <w:p>
      <w:pPr>
        <w:pStyle w:val="3"/>
        <w:bidi w:val="0"/>
        <w:jc w:val="center"/>
        <w:rPr>
          <w:color w:val="auto"/>
        </w:rPr>
      </w:pPr>
      <w:bookmarkStart w:id="60" w:name="_Toc27077"/>
      <w:r>
        <w:rPr>
          <w:rFonts w:hint="eastAsia"/>
          <w:color w:val="auto"/>
        </w:rPr>
        <w:t>教师进修学习、学历教育管理制度</w:t>
      </w:r>
      <w:bookmarkEnd w:id="60"/>
    </w:p>
    <w:p>
      <w:pPr>
        <w:spacing w:line="360" w:lineRule="auto"/>
        <w:ind w:firstLine="480" w:firstLineChars="200"/>
        <w:rPr>
          <w:rFonts w:ascii="宋体" w:hAnsi="Calibri" w:eastAsia="宋体" w:cs="Times New Roman"/>
          <w:color w:val="auto"/>
          <w:sz w:val="24"/>
          <w:szCs w:val="24"/>
        </w:rPr>
      </w:pP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为适应学院发展和学院管理模式改革，改善和提高学院教师队伍的知识结构和教师业务成长的需要，</w:t>
      </w:r>
      <w:r>
        <w:rPr>
          <w:rFonts w:hint="eastAsia" w:ascii="宋体" w:hAnsi="宋体" w:eastAsia="宋体" w:cs="宋体"/>
          <w:color w:val="auto"/>
          <w:kern w:val="0"/>
          <w:sz w:val="24"/>
          <w:szCs w:val="24"/>
        </w:rPr>
        <w:t>根据有关文件精神，结合我校实际，</w:t>
      </w:r>
      <w:r>
        <w:rPr>
          <w:rFonts w:hint="eastAsia" w:ascii="宋体" w:hAnsi="宋体" w:eastAsia="宋体" w:cs="Times New Roman"/>
          <w:color w:val="auto"/>
          <w:sz w:val="24"/>
          <w:szCs w:val="24"/>
        </w:rPr>
        <w:t>特制定本制度。</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一、原则性规定：</w:t>
      </w:r>
    </w:p>
    <w:p>
      <w:pPr>
        <w:numPr>
          <w:ilvl w:val="0"/>
          <w:numId w:val="33"/>
        </w:numPr>
        <w:spacing w:line="360" w:lineRule="auto"/>
        <w:ind w:left="0" w:firstLine="490"/>
        <w:rPr>
          <w:rFonts w:ascii="宋体" w:hAnsi="Calibri" w:eastAsia="宋体" w:cs="Times New Roman"/>
          <w:color w:val="auto"/>
          <w:sz w:val="24"/>
          <w:szCs w:val="24"/>
        </w:rPr>
      </w:pPr>
      <w:r>
        <w:rPr>
          <w:rFonts w:hint="eastAsia" w:ascii="宋体" w:hAnsi="宋体" w:eastAsia="宋体" w:cs="Times New Roman"/>
          <w:color w:val="auto"/>
          <w:sz w:val="24"/>
          <w:szCs w:val="24"/>
        </w:rPr>
        <w:t>本规定所涵盖的对象为学院在岗教师。</w:t>
      </w:r>
    </w:p>
    <w:p>
      <w:pPr>
        <w:numPr>
          <w:ilvl w:val="0"/>
          <w:numId w:val="33"/>
        </w:numPr>
        <w:spacing w:line="360" w:lineRule="auto"/>
        <w:ind w:left="0" w:firstLine="490"/>
        <w:rPr>
          <w:rFonts w:ascii="宋体" w:hAnsi="Calibri" w:eastAsia="宋体" w:cs="Times New Roman"/>
          <w:color w:val="auto"/>
          <w:sz w:val="24"/>
          <w:szCs w:val="24"/>
        </w:rPr>
      </w:pPr>
      <w:r>
        <w:rPr>
          <w:rFonts w:hint="eastAsia" w:ascii="宋体" w:hAnsi="宋体" w:eastAsia="宋体" w:cs="Times New Roman"/>
          <w:color w:val="auto"/>
          <w:sz w:val="24"/>
          <w:szCs w:val="24"/>
        </w:rPr>
        <w:t>学以致用，专业对口：学习培训的内容应面向教学一线，做到学用一致，能全面提高教师的基础知识，教学水平、专业实践能力以及科学研究能力，提高应用现代化教育技术技能。</w:t>
      </w:r>
    </w:p>
    <w:p>
      <w:pPr>
        <w:numPr>
          <w:ilvl w:val="0"/>
          <w:numId w:val="33"/>
        </w:numPr>
        <w:spacing w:line="360" w:lineRule="auto"/>
        <w:ind w:left="0" w:firstLine="490"/>
        <w:rPr>
          <w:rFonts w:ascii="宋体" w:hAnsi="Calibri" w:eastAsia="宋体" w:cs="Times New Roman"/>
          <w:color w:val="auto"/>
          <w:sz w:val="24"/>
          <w:szCs w:val="24"/>
        </w:rPr>
      </w:pPr>
      <w:r>
        <w:rPr>
          <w:rFonts w:hint="eastAsia" w:ascii="宋体" w:hAnsi="宋体" w:eastAsia="宋体" w:cs="Times New Roman"/>
          <w:color w:val="auto"/>
          <w:sz w:val="24"/>
          <w:szCs w:val="24"/>
        </w:rPr>
        <w:t>计划安排，突出重点：突出专业带头人、优秀中青年骨干教师，重点专业或新开专业教师学习培训，其他人员根据教学、管理、科研等工作需要和个人工作业绩，择优安排。</w:t>
      </w:r>
    </w:p>
    <w:p>
      <w:pPr>
        <w:numPr>
          <w:ilvl w:val="0"/>
          <w:numId w:val="33"/>
        </w:numPr>
        <w:spacing w:line="360" w:lineRule="auto"/>
        <w:ind w:left="0" w:firstLine="490"/>
        <w:rPr>
          <w:rFonts w:ascii="宋体" w:hAnsi="Calibri" w:eastAsia="宋体" w:cs="Times New Roman"/>
          <w:color w:val="auto"/>
          <w:sz w:val="24"/>
          <w:szCs w:val="24"/>
        </w:rPr>
      </w:pPr>
      <w:r>
        <w:rPr>
          <w:rFonts w:hint="eastAsia" w:ascii="宋体" w:hAnsi="宋体" w:eastAsia="宋体" w:cs="Times New Roman"/>
          <w:color w:val="auto"/>
          <w:sz w:val="24"/>
          <w:szCs w:val="24"/>
        </w:rPr>
        <w:t>在职为主，其他为辅：以不影响学院正常工作为前提，一般学习培训以在职不脱产、业余和就近为主，脱产、异地学习培训为辅。</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二、资格审查和审批程序：</w:t>
      </w:r>
    </w:p>
    <w:p>
      <w:pPr>
        <w:numPr>
          <w:ilvl w:val="0"/>
          <w:numId w:val="34"/>
        </w:numPr>
        <w:spacing w:line="360" w:lineRule="auto"/>
        <w:ind w:left="0" w:firstLine="504"/>
        <w:rPr>
          <w:rFonts w:ascii="宋体" w:hAnsi="Calibri" w:eastAsia="宋体" w:cs="Times New Roman"/>
          <w:color w:val="auto"/>
          <w:sz w:val="24"/>
          <w:szCs w:val="24"/>
        </w:rPr>
      </w:pPr>
      <w:r>
        <w:rPr>
          <w:rFonts w:hint="eastAsia" w:ascii="宋体" w:hAnsi="宋体" w:eastAsia="宋体" w:cs="Times New Roman"/>
          <w:color w:val="auto"/>
          <w:sz w:val="24"/>
          <w:szCs w:val="24"/>
        </w:rPr>
        <w:t>个人提出申请，填写有关表格。</w:t>
      </w:r>
    </w:p>
    <w:p>
      <w:pPr>
        <w:numPr>
          <w:ilvl w:val="0"/>
          <w:numId w:val="34"/>
        </w:numPr>
        <w:spacing w:line="360" w:lineRule="auto"/>
        <w:ind w:left="0" w:firstLine="504"/>
        <w:rPr>
          <w:rFonts w:ascii="宋体" w:hAnsi="Calibri" w:eastAsia="宋体" w:cs="Times New Roman"/>
          <w:color w:val="auto"/>
          <w:sz w:val="24"/>
          <w:szCs w:val="24"/>
        </w:rPr>
      </w:pP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签署意见。</w:t>
      </w:r>
    </w:p>
    <w:p>
      <w:pPr>
        <w:numPr>
          <w:ilvl w:val="0"/>
          <w:numId w:val="34"/>
        </w:numPr>
        <w:spacing w:line="360" w:lineRule="auto"/>
        <w:ind w:left="0" w:firstLine="504"/>
        <w:rPr>
          <w:rFonts w:ascii="宋体" w:hAnsi="Calibri" w:eastAsia="宋体" w:cs="Times New Roman"/>
          <w:color w:val="auto"/>
          <w:sz w:val="24"/>
          <w:szCs w:val="24"/>
        </w:rPr>
      </w:pP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审核、登记。</w:t>
      </w:r>
    </w:p>
    <w:p>
      <w:pPr>
        <w:numPr>
          <w:ilvl w:val="0"/>
          <w:numId w:val="34"/>
        </w:numPr>
        <w:spacing w:line="360" w:lineRule="auto"/>
        <w:ind w:left="0" w:firstLine="504"/>
        <w:rPr>
          <w:rFonts w:ascii="宋体" w:hAnsi="Calibri" w:eastAsia="宋体" w:cs="Times New Roman"/>
          <w:color w:val="auto"/>
          <w:sz w:val="24"/>
          <w:szCs w:val="24"/>
        </w:rPr>
      </w:pPr>
      <w:r>
        <w:rPr>
          <w:rFonts w:hint="eastAsia" w:ascii="宋体" w:hAnsi="宋体" w:eastAsia="宋体" w:cs="Times New Roman"/>
          <w:color w:val="auto"/>
          <w:sz w:val="24"/>
          <w:szCs w:val="24"/>
        </w:rPr>
        <w:t>报主管院长审批。</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三、经费规定：</w:t>
      </w:r>
    </w:p>
    <w:p>
      <w:pPr>
        <w:numPr>
          <w:ilvl w:val="0"/>
          <w:numId w:val="35"/>
        </w:numPr>
        <w:tabs>
          <w:tab w:val="left" w:pos="709"/>
          <w:tab w:val="clear" w:pos="980"/>
        </w:tabs>
        <w:spacing w:line="360" w:lineRule="auto"/>
        <w:ind w:left="0" w:firstLine="546"/>
        <w:rPr>
          <w:rFonts w:ascii="宋体" w:hAnsi="Calibri" w:eastAsia="宋体" w:cs="Times New Roman"/>
          <w:color w:val="auto"/>
          <w:sz w:val="24"/>
          <w:szCs w:val="24"/>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教师参加任何形式的本、专科在职学历教育和研究生课程进修班学习费用自理。经学院同意参加学习人员，在学习期间办理书面请假手续可按事假处理；未经批准自行参加学习人员，学习期间影响正常工作按学院考勤制度有关规定处理。</w:t>
      </w:r>
    </w:p>
    <w:p>
      <w:pPr>
        <w:numPr>
          <w:ilvl w:val="0"/>
          <w:numId w:val="35"/>
        </w:numPr>
        <w:tabs>
          <w:tab w:val="left" w:pos="426"/>
          <w:tab w:val="clear" w:pos="980"/>
        </w:tabs>
        <w:spacing w:line="360" w:lineRule="auto"/>
        <w:ind w:left="0" w:firstLine="546"/>
        <w:rPr>
          <w:rFonts w:ascii="宋体" w:hAnsi="Calibri" w:eastAsia="宋体" w:cs="Times New Roman"/>
          <w:color w:val="auto"/>
          <w:sz w:val="24"/>
          <w:szCs w:val="24"/>
        </w:rPr>
      </w:pPr>
      <w:r>
        <w:rPr>
          <w:rFonts w:hint="eastAsia" w:ascii="宋体" w:hAnsi="宋体" w:eastAsia="宋体" w:cs="Times New Roman"/>
          <w:color w:val="auto"/>
          <w:sz w:val="24"/>
          <w:szCs w:val="24"/>
        </w:rPr>
        <w:t>学院鼓励</w:t>
      </w:r>
      <w:r>
        <w:rPr>
          <w:rFonts w:ascii="宋体" w:hAnsi="宋体" w:eastAsia="宋体" w:cs="Times New Roman"/>
          <w:color w:val="auto"/>
          <w:sz w:val="24"/>
          <w:szCs w:val="24"/>
        </w:rPr>
        <w:t>45</w:t>
      </w:r>
      <w:r>
        <w:rPr>
          <w:rFonts w:hint="eastAsia" w:ascii="宋体" w:hAnsi="宋体" w:eastAsia="宋体" w:cs="Times New Roman"/>
          <w:color w:val="auto"/>
          <w:sz w:val="24"/>
          <w:szCs w:val="24"/>
        </w:rPr>
        <w:t>岁以下的教师在职攻读硕士研究生，申请在职攻读研究生学位，报考院校必须是教育部认可的高等院校，所报专业必须对口或相近。获得硕士学位后，学院给予一次性</w:t>
      </w:r>
      <w:r>
        <w:rPr>
          <w:rFonts w:ascii="宋体" w:hAnsi="宋体" w:eastAsia="宋体" w:cs="Times New Roman"/>
          <w:color w:val="auto"/>
          <w:sz w:val="24"/>
          <w:szCs w:val="24"/>
        </w:rPr>
        <w:t>8000</w:t>
      </w:r>
      <w:r>
        <w:rPr>
          <w:rFonts w:hint="eastAsia" w:ascii="宋体" w:hAnsi="宋体" w:eastAsia="宋体" w:cs="Times New Roman"/>
          <w:color w:val="auto"/>
          <w:sz w:val="24"/>
          <w:szCs w:val="24"/>
        </w:rPr>
        <w:t>元学费补助（每人限补助一次）；获得补助人员必须从获得补助当年起，在学院服务不得少于</w:t>
      </w:r>
      <w:r>
        <w:rPr>
          <w:rFonts w:ascii="宋体" w:hAnsi="宋体" w:eastAsia="宋体" w:cs="Times New Roman"/>
          <w:color w:val="auto"/>
          <w:sz w:val="24"/>
          <w:szCs w:val="24"/>
        </w:rPr>
        <w:t>5</w:t>
      </w:r>
      <w:r>
        <w:rPr>
          <w:rFonts w:hint="eastAsia" w:ascii="宋体" w:hAnsi="宋体" w:eastAsia="宋体" w:cs="Times New Roman"/>
          <w:color w:val="auto"/>
          <w:sz w:val="24"/>
          <w:szCs w:val="24"/>
        </w:rPr>
        <w:t>年，否则需退还补助金额。</w:t>
      </w:r>
    </w:p>
    <w:p>
      <w:pPr>
        <w:numPr>
          <w:ilvl w:val="0"/>
          <w:numId w:val="35"/>
        </w:numPr>
        <w:tabs>
          <w:tab w:val="left" w:pos="686"/>
          <w:tab w:val="clear" w:pos="980"/>
        </w:tabs>
        <w:spacing w:line="360" w:lineRule="auto"/>
        <w:ind w:left="0" w:firstLine="546"/>
        <w:rPr>
          <w:rFonts w:ascii="宋体" w:hAnsi="Calibri" w:eastAsia="宋体" w:cs="Times New Roman"/>
          <w:color w:val="auto"/>
          <w:sz w:val="24"/>
          <w:szCs w:val="24"/>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学院学术交流培训专项经费按每人每年</w:t>
      </w:r>
      <w:r>
        <w:rPr>
          <w:rFonts w:ascii="宋体" w:hAnsi="宋体" w:eastAsia="宋体" w:cs="Times New Roman"/>
          <w:color w:val="auto"/>
          <w:sz w:val="24"/>
          <w:szCs w:val="24"/>
        </w:rPr>
        <w:t>400</w:t>
      </w:r>
      <w:r>
        <w:rPr>
          <w:rFonts w:hint="eastAsia" w:ascii="宋体" w:hAnsi="宋体" w:eastAsia="宋体" w:cs="Times New Roman"/>
          <w:color w:val="auto"/>
          <w:sz w:val="24"/>
          <w:szCs w:val="24"/>
        </w:rPr>
        <w:t>元拨到</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，用于教师职业教育理论及业务学习培训、参加教材编写会议及学术会议（国家及省级骨干教师培训由学院统一安排）。具体管理办法见《广东江门中医药职业学院学术交流培训专项经费管理办法》。</w:t>
      </w:r>
    </w:p>
    <w:p>
      <w:pPr>
        <w:numPr>
          <w:ilvl w:val="0"/>
          <w:numId w:val="35"/>
        </w:numPr>
        <w:spacing w:line="360" w:lineRule="auto"/>
        <w:ind w:left="0" w:firstLine="546"/>
        <w:rPr>
          <w:rFonts w:ascii="宋体" w:hAnsi="Calibri" w:eastAsia="宋体" w:cs="Times New Roman"/>
          <w:color w:val="auto"/>
          <w:sz w:val="24"/>
          <w:szCs w:val="24"/>
        </w:rPr>
      </w:pPr>
      <w:r>
        <w:rPr>
          <w:rFonts w:hint="eastAsia" w:ascii="宋体" w:hAnsi="宋体" w:eastAsia="宋体" w:cs="Times New Roman"/>
          <w:color w:val="auto"/>
          <w:sz w:val="24"/>
          <w:szCs w:val="24"/>
        </w:rPr>
        <w:t>教师参加校外年度继续教育项目学习费用自理。</w:t>
      </w:r>
    </w:p>
    <w:p>
      <w:pPr>
        <w:spacing w:line="360" w:lineRule="auto"/>
        <w:ind w:firstLine="482" w:firstLineChars="200"/>
        <w:rPr>
          <w:rFonts w:ascii="宋体" w:hAnsi="Calibri" w:eastAsia="宋体" w:cs="Times New Roman"/>
          <w:b/>
          <w:color w:val="auto"/>
          <w:sz w:val="24"/>
          <w:szCs w:val="24"/>
        </w:rPr>
      </w:pPr>
      <w:r>
        <w:rPr>
          <w:rFonts w:hint="eastAsia" w:ascii="宋体" w:hAnsi="宋体" w:eastAsia="宋体" w:cs="Times New Roman"/>
          <w:b/>
          <w:color w:val="auto"/>
          <w:sz w:val="24"/>
          <w:szCs w:val="24"/>
        </w:rPr>
        <w:t>四、基本要求：</w:t>
      </w:r>
    </w:p>
    <w:p>
      <w:pPr>
        <w:numPr>
          <w:ilvl w:val="0"/>
          <w:numId w:val="36"/>
        </w:numPr>
        <w:spacing w:line="360" w:lineRule="auto"/>
        <w:ind w:left="0" w:firstLine="560"/>
        <w:rPr>
          <w:rFonts w:ascii="宋体" w:hAnsi="Calibri" w:eastAsia="宋体" w:cs="Times New Roman"/>
          <w:color w:val="auto"/>
          <w:sz w:val="24"/>
          <w:szCs w:val="24"/>
        </w:rPr>
      </w:pPr>
      <w:r>
        <w:rPr>
          <w:rFonts w:hint="eastAsia" w:ascii="宋体" w:hAnsi="宋体" w:eastAsia="宋体" w:cs="Times New Roman"/>
          <w:color w:val="auto"/>
          <w:sz w:val="24"/>
          <w:szCs w:val="24"/>
        </w:rPr>
        <w:t>学术会议必须是公认的各类专业学会或协会等学术团体举办并与职业教育相关的学术会议，并持有论文、会议论文录用通知和正式会议通知（网上下载无效）方可申请，同一会议限派一人参加。</w:t>
      </w:r>
    </w:p>
    <w:p>
      <w:pPr>
        <w:numPr>
          <w:ilvl w:val="0"/>
          <w:numId w:val="36"/>
        </w:numPr>
        <w:spacing w:line="360" w:lineRule="auto"/>
        <w:ind w:left="0" w:firstLine="560"/>
        <w:rPr>
          <w:rFonts w:ascii="宋体" w:hAnsi="Calibri" w:eastAsia="宋体" w:cs="Times New Roman"/>
          <w:color w:val="auto"/>
          <w:sz w:val="24"/>
          <w:szCs w:val="24"/>
        </w:rPr>
      </w:pPr>
      <w:r>
        <w:rPr>
          <w:rFonts w:hint="eastAsia" w:ascii="宋体" w:hAnsi="宋体" w:eastAsia="宋体" w:cs="Times New Roman"/>
          <w:color w:val="auto"/>
          <w:sz w:val="24"/>
          <w:szCs w:val="24"/>
        </w:rPr>
        <w:t>鼓励教师参加国家级规划教材、教育部各专业教学（教材）指导委员会主持的教材编写，首选人民卫生出版社、高等教育出版社、中国中医药出版社。编写的教材必须与学院的培养层次及专业相符，由学院统筹安排是否参编。除经校领导研究同意外，学院不负有使用教材的义务。同一教材只能参加一次编写会。</w:t>
      </w:r>
    </w:p>
    <w:p>
      <w:pPr>
        <w:numPr>
          <w:ilvl w:val="0"/>
          <w:numId w:val="36"/>
        </w:numPr>
        <w:spacing w:line="360" w:lineRule="auto"/>
        <w:ind w:left="0" w:firstLine="560"/>
        <w:rPr>
          <w:rFonts w:ascii="宋体" w:hAnsi="Calibri" w:eastAsia="宋体" w:cs="Times New Roman"/>
          <w:color w:val="auto"/>
          <w:sz w:val="24"/>
          <w:szCs w:val="24"/>
        </w:rPr>
      </w:pPr>
      <w:r>
        <w:rPr>
          <w:rFonts w:hint="eastAsia" w:ascii="宋体" w:hAnsi="宋体" w:eastAsia="宋体" w:cs="Times New Roman"/>
          <w:color w:val="auto"/>
          <w:sz w:val="24"/>
          <w:szCs w:val="24"/>
        </w:rPr>
        <w:t>专业课教师必须完成规定的顶岗实践，原则上每年都要参加不少于一个月顶岗实践（</w:t>
      </w:r>
      <w:r>
        <w:rPr>
          <w:rFonts w:ascii="宋体" w:hAnsi="宋体" w:eastAsia="宋体" w:cs="Times New Roman"/>
          <w:color w:val="auto"/>
          <w:sz w:val="24"/>
          <w:szCs w:val="24"/>
        </w:rPr>
        <w:t>5</w:t>
      </w:r>
      <w:r>
        <w:rPr>
          <w:rFonts w:hint="eastAsia" w:ascii="宋体" w:hAnsi="宋体" w:eastAsia="宋体" w:cs="Times New Roman"/>
          <w:color w:val="auto"/>
          <w:sz w:val="24"/>
          <w:szCs w:val="24"/>
        </w:rPr>
        <w:t>年六个月），门诊值晚班每班次计半天。顶岗实践期间，服从医院（企业）的管理规定及考勤。顶岗实践结束后，必须开具医院（企业）鉴定的材料。专业课教师顶岗实践由各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统筹安排，</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定期对参加顶岗实践活动的教师进行检查。未完成当年顶岗实践任务的专业课教师当年不能评优，一个聘期内未完成年均一个月以上顶岗实践任务的专业课教师不能晋升职称。考虑到学院的特殊情况，对</w:t>
      </w:r>
      <w:r>
        <w:rPr>
          <w:rFonts w:ascii="宋体" w:hAnsi="宋体" w:eastAsia="宋体" w:cs="Times New Roman"/>
          <w:color w:val="auto"/>
          <w:sz w:val="24"/>
          <w:szCs w:val="24"/>
        </w:rPr>
        <w:t>45</w:t>
      </w:r>
      <w:r>
        <w:rPr>
          <w:rFonts w:hint="eastAsia" w:ascii="宋体" w:hAnsi="宋体" w:eastAsia="宋体" w:cs="Times New Roman"/>
          <w:color w:val="auto"/>
          <w:sz w:val="24"/>
          <w:szCs w:val="24"/>
        </w:rPr>
        <w:t>岁以上的“双师型”专业课教师，或进入学院前已经累计在医院（企业）工作五年以上的专业课教师，可以不受此规定限制。</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获得教师资格证及相关专业执业资格证的教师（双师型教师）参加顶岗实践，一次性每天补助</w:t>
      </w:r>
      <w:r>
        <w:rPr>
          <w:rFonts w:ascii="宋体" w:hAnsi="宋体" w:eastAsia="宋体" w:cs="Times New Roman"/>
          <w:color w:val="auto"/>
          <w:sz w:val="24"/>
          <w:szCs w:val="24"/>
        </w:rPr>
        <w:t>50</w:t>
      </w:r>
      <w:r>
        <w:rPr>
          <w:rFonts w:hint="eastAsia" w:ascii="宋体" w:hAnsi="宋体" w:eastAsia="宋体" w:cs="Times New Roman"/>
          <w:color w:val="auto"/>
          <w:sz w:val="24"/>
          <w:szCs w:val="24"/>
        </w:rPr>
        <w:t>元，不再报销其它费用（门诊值班按学院相关规定执行）。凭顶岗实践登记表、顶岗实践鉴定表及</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检查登记表报</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统一制表审批。</w:t>
      </w:r>
    </w:p>
    <w:p>
      <w:pPr>
        <w:numPr>
          <w:ilvl w:val="0"/>
          <w:numId w:val="36"/>
        </w:numPr>
        <w:spacing w:line="360" w:lineRule="auto"/>
        <w:ind w:left="0" w:firstLine="560"/>
        <w:rPr>
          <w:rFonts w:ascii="宋体" w:hAnsi="Calibri" w:eastAsia="宋体" w:cs="Times New Roman"/>
          <w:color w:val="auto"/>
          <w:sz w:val="24"/>
          <w:szCs w:val="24"/>
        </w:rPr>
      </w:pPr>
      <w:r>
        <w:rPr>
          <w:rFonts w:hint="eastAsia" w:ascii="宋体" w:hAnsi="宋体" w:eastAsia="宋体" w:cs="Times New Roman"/>
          <w:color w:val="auto"/>
          <w:sz w:val="24"/>
          <w:szCs w:val="24"/>
        </w:rPr>
        <w:t>新分配的刚毕业专业教师报到后第一个暑假首先到医院或企业参加一个月的顶岗实践，其程序与要求同其他教师一致。</w:t>
      </w:r>
    </w:p>
    <w:p>
      <w:pPr>
        <w:numPr>
          <w:ilvl w:val="0"/>
          <w:numId w:val="36"/>
        </w:numPr>
        <w:spacing w:line="360" w:lineRule="auto"/>
        <w:ind w:left="0" w:firstLine="560"/>
        <w:rPr>
          <w:rFonts w:ascii="宋体" w:hAnsi="Calibri" w:eastAsia="宋体" w:cs="Times New Roman"/>
          <w:color w:val="auto"/>
          <w:sz w:val="24"/>
          <w:szCs w:val="24"/>
        </w:rPr>
      </w:pPr>
      <w:r>
        <w:rPr>
          <w:rFonts w:hint="eastAsia" w:ascii="宋体" w:hAnsi="宋体" w:eastAsia="宋体" w:cs="Times New Roman"/>
          <w:color w:val="auto"/>
          <w:sz w:val="24"/>
          <w:szCs w:val="24"/>
        </w:rPr>
        <w:t>青年教师必须积极参加学院各类有利于教师成长的活动（如教研活动和各类竞赛活动），并作为培养、进修学习的条件之一。</w:t>
      </w:r>
    </w:p>
    <w:p>
      <w:pPr>
        <w:numPr>
          <w:ilvl w:val="0"/>
          <w:numId w:val="36"/>
        </w:numPr>
        <w:spacing w:line="360" w:lineRule="auto"/>
        <w:ind w:left="0" w:firstLine="560"/>
        <w:rPr>
          <w:rFonts w:ascii="宋体" w:hAnsi="Calibri" w:eastAsia="宋体" w:cs="Times New Roman"/>
          <w:color w:val="auto"/>
          <w:sz w:val="24"/>
          <w:szCs w:val="24"/>
        </w:rPr>
      </w:pPr>
      <w:r>
        <w:rPr>
          <w:rFonts w:hint="eastAsia" w:ascii="宋体" w:hAnsi="宋体" w:eastAsia="宋体" w:cs="Times New Roman"/>
          <w:color w:val="auto"/>
          <w:sz w:val="24"/>
          <w:szCs w:val="24"/>
        </w:rPr>
        <w:t>所有的教师（专业技术人员）必须完成人事部门规定的继续教育项目（公需课和专项学习），完成规定的学分。未完成规定的继续教育项目的教师按市人力资源与社会保障局的有关规定处理。</w:t>
      </w:r>
    </w:p>
    <w:p>
      <w:pPr>
        <w:numPr>
          <w:ilvl w:val="0"/>
          <w:numId w:val="36"/>
        </w:numPr>
        <w:spacing w:line="360" w:lineRule="auto"/>
        <w:ind w:left="0" w:firstLine="560"/>
        <w:rPr>
          <w:rFonts w:ascii="宋体" w:hAnsi="Calibri" w:eastAsia="宋体" w:cs="Times New Roman"/>
          <w:color w:val="auto"/>
          <w:sz w:val="24"/>
          <w:szCs w:val="24"/>
        </w:rPr>
      </w:pPr>
      <w:r>
        <w:rPr>
          <w:rFonts w:hint="eastAsia" w:ascii="宋体" w:hAnsi="宋体" w:eastAsia="宋体" w:cs="Times New Roman"/>
          <w:color w:val="auto"/>
          <w:sz w:val="24"/>
          <w:szCs w:val="24"/>
        </w:rPr>
        <w:t>参加国家级、省级骨干教师培训及外出培训一个月以上的教职工，需要完成以下任务：</w:t>
      </w:r>
    </w:p>
    <w:p>
      <w:pPr>
        <w:spacing w:line="360" w:lineRule="auto"/>
        <w:ind w:firstLine="546"/>
        <w:rPr>
          <w:rFonts w:ascii="宋体" w:hAnsi="Calibri" w:eastAsia="宋体" w:cs="Times New Roman"/>
          <w:color w:val="auto"/>
          <w:sz w:val="24"/>
          <w:szCs w:val="24"/>
        </w:rPr>
      </w:pPr>
      <w:r>
        <w:rPr>
          <w:rFonts w:ascii="宋体" w:hAnsi="宋体" w:eastAsia="宋体" w:cs="Times New Roman"/>
          <w:color w:val="auto"/>
          <w:sz w:val="24"/>
          <w:szCs w:val="24"/>
        </w:rPr>
        <w:t>1.</w:t>
      </w:r>
      <w:r>
        <w:rPr>
          <w:rFonts w:hint="eastAsia" w:ascii="宋体" w:hAnsi="宋体" w:eastAsia="宋体" w:cs="Times New Roman"/>
          <w:color w:val="auto"/>
          <w:sz w:val="24"/>
          <w:szCs w:val="24"/>
        </w:rPr>
        <w:t>每月向</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递交进展情况报告各一份；定期汇报进修期间的思想、学习状况；</w:t>
      </w:r>
    </w:p>
    <w:p>
      <w:pPr>
        <w:spacing w:line="360" w:lineRule="auto"/>
        <w:ind w:firstLine="546"/>
        <w:rPr>
          <w:rFonts w:ascii="宋体" w:hAnsi="Calibri" w:eastAsia="宋体" w:cs="Times New Roman"/>
          <w:color w:val="auto"/>
          <w:sz w:val="24"/>
          <w:szCs w:val="24"/>
        </w:rPr>
      </w:pPr>
      <w:r>
        <w:rPr>
          <w:rFonts w:ascii="宋体" w:hAnsi="宋体" w:eastAsia="宋体" w:cs="Times New Roman"/>
          <w:color w:val="auto"/>
          <w:sz w:val="24"/>
          <w:szCs w:val="24"/>
        </w:rPr>
        <w:t>2.</w:t>
      </w:r>
      <w:r>
        <w:rPr>
          <w:rFonts w:hint="eastAsia" w:ascii="宋体" w:hAnsi="宋体" w:eastAsia="宋体" w:cs="Times New Roman"/>
          <w:color w:val="auto"/>
          <w:sz w:val="24"/>
          <w:szCs w:val="24"/>
        </w:rPr>
        <w:t>培训结束后，向全校师生做不少于一次的专题报告，达到推广培训效果和扩大培训范围的目的。</w:t>
      </w:r>
    </w:p>
    <w:p>
      <w:pPr>
        <w:spacing w:line="360" w:lineRule="auto"/>
        <w:ind w:firstLine="546"/>
        <w:rPr>
          <w:rFonts w:ascii="宋体" w:hAnsi="Calibri" w:eastAsia="宋体" w:cs="Times New Roman"/>
          <w:color w:val="auto"/>
          <w:sz w:val="24"/>
          <w:szCs w:val="24"/>
        </w:rPr>
      </w:pPr>
      <w:r>
        <w:rPr>
          <w:rFonts w:ascii="宋体" w:hAnsi="宋体" w:eastAsia="宋体" w:cs="Times New Roman"/>
          <w:color w:val="auto"/>
          <w:sz w:val="24"/>
          <w:szCs w:val="24"/>
        </w:rPr>
        <w:t>3.</w:t>
      </w:r>
      <w:r>
        <w:rPr>
          <w:rFonts w:hint="eastAsia" w:ascii="宋体" w:hAnsi="宋体" w:eastAsia="宋体" w:cs="Times New Roman"/>
          <w:color w:val="auto"/>
          <w:sz w:val="24"/>
          <w:szCs w:val="24"/>
        </w:rPr>
        <w:t>参加国家级、省级骨干教师培训的教师必须从培训结束起，在学院服务不得少于</w:t>
      </w:r>
      <w:r>
        <w:rPr>
          <w:rFonts w:ascii="宋体" w:hAnsi="宋体" w:eastAsia="宋体" w:cs="Times New Roman"/>
          <w:color w:val="auto"/>
          <w:sz w:val="24"/>
          <w:szCs w:val="24"/>
        </w:rPr>
        <w:t>5</w:t>
      </w:r>
      <w:r>
        <w:rPr>
          <w:rFonts w:hint="eastAsia" w:ascii="宋体" w:hAnsi="宋体" w:eastAsia="宋体" w:cs="Times New Roman"/>
          <w:color w:val="auto"/>
          <w:sz w:val="24"/>
          <w:szCs w:val="24"/>
        </w:rPr>
        <w:t>年，否则需退还所有培训费用。</w:t>
      </w:r>
    </w:p>
    <w:p>
      <w:pPr>
        <w:widowControl/>
        <w:jc w:val="left"/>
        <w:rPr>
          <w:rFonts w:ascii="宋体" w:hAnsi="Calibri" w:eastAsia="宋体" w:cs="Times New Roman"/>
          <w:color w:val="auto"/>
          <w:sz w:val="24"/>
          <w:szCs w:val="24"/>
        </w:rPr>
      </w:pPr>
      <w:r>
        <w:rPr>
          <w:rFonts w:ascii="宋体" w:hAnsi="Calibri" w:eastAsia="宋体" w:cs="Times New Roman"/>
          <w:color w:val="auto"/>
          <w:sz w:val="24"/>
          <w:szCs w:val="24"/>
        </w:rPr>
        <w:br w:type="page"/>
      </w:r>
    </w:p>
    <w:p>
      <w:pPr>
        <w:pStyle w:val="3"/>
        <w:bidi w:val="0"/>
        <w:jc w:val="center"/>
        <w:rPr>
          <w:color w:val="auto"/>
        </w:rPr>
      </w:pPr>
      <w:bookmarkStart w:id="61" w:name="_Toc17134"/>
      <w:r>
        <w:rPr>
          <w:rFonts w:hint="eastAsia"/>
          <w:color w:val="auto"/>
        </w:rPr>
        <w:t>师资培训经费管理制度</w:t>
      </w:r>
      <w:bookmarkEnd w:id="61"/>
    </w:p>
    <w:p>
      <w:pPr>
        <w:spacing w:line="360" w:lineRule="auto"/>
        <w:rPr>
          <w:rFonts w:ascii="宋体" w:hAnsi="Calibri" w:eastAsia="宋体" w:cs="Times New Roman"/>
          <w:color w:val="auto"/>
          <w:sz w:val="24"/>
          <w:szCs w:val="24"/>
        </w:rPr>
      </w:pP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第一条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为了进一步加强学科学术交流，活跃我院的学术氛围，提高我院的整体科研水平，管好用好专项经费，特制定本制度。</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第二条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使用范围：用于教师职业教育理论及业务学习培训、参加教材编写会议及学术会议产生的培训（会务）费及差旅费（国家及省级骨干教师培训由学院统一安排）。</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第三条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使用对象：以中青年教师为主，为选拨、培养在实际教学、科研中涌现出来的优秀中青年教师，使之成为教学骨干和学科带头人。</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第四条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使用原则：培训经费列入学院专项经费预算，学院财务科统一核算，专款专用，每年公布一次经费使用情况，活动经费当年结余可结转到下一年度继续使用。</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要建立、健全学术活动档案，及时登记和掌握本部门个人学术活动情况，每学期末向</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提交本</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学期学术交流的汇总材料。</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教师参加学术会议后，由</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主任安排在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内进行经验交流，必要时由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安排全校交流，以达收获同享、共同提高的目的。接受技术培训的教职工在返校后须将所得经验结合本职工作，做出相关工作计划并负责实施。</w:t>
      </w:r>
    </w:p>
    <w:p>
      <w:pPr>
        <w:spacing w:line="360" w:lineRule="auto"/>
        <w:ind w:firstLine="482" w:firstLineChars="200"/>
        <w:rPr>
          <w:rFonts w:ascii="宋体" w:hAnsi="Calibri" w:eastAsia="宋体" w:cs="Times New Roman"/>
          <w:color w:val="auto"/>
          <w:sz w:val="24"/>
          <w:szCs w:val="24"/>
        </w:rPr>
      </w:pPr>
      <w:r>
        <w:rPr>
          <w:rFonts w:hint="eastAsia" w:ascii="宋体" w:hAnsi="宋体" w:eastAsia="宋体" w:cs="Times New Roman"/>
          <w:b/>
          <w:color w:val="auto"/>
          <w:sz w:val="24"/>
          <w:szCs w:val="24"/>
        </w:rPr>
        <w:t>第五条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审批程序</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（一）各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制定《××</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师资培养三年规划》《××</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专项经费使用细则》，经</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全体教师讨论通过后报学院备案。</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（二）各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制定年度师资培训计划，落实每年的学习培训重点。年度培训计划报送</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编制全校年度学术交流培训计划，会同有关部门落实。</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（三）每学期报送《广东江门中医药职业学院</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学术交流培训专项经费使用汇总表》并全校公示。</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第六条</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报销程序</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申请人填写申请书，所在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签署意见，</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签署意见，主管院领导审批，</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备案。</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申请人办理报销手续时要向</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提交相关材料，包括经审批的培训（会议）通知及有关资料、会议论文复印件（包括论文集的封面、版权页、目录、论文全文、封底）等。</w:t>
      </w:r>
    </w:p>
    <w:p>
      <w:pPr>
        <w:spacing w:line="360" w:lineRule="auto"/>
        <w:ind w:firstLine="480" w:firstLineChars="200"/>
        <w:rPr>
          <w:rFonts w:ascii="宋体" w:hAnsi="Calibri" w:eastAsia="宋体" w:cs="Times New Roman"/>
          <w:color w:val="auto"/>
          <w:sz w:val="24"/>
          <w:szCs w:val="24"/>
        </w:rPr>
      </w:pPr>
      <w:r>
        <w:rPr>
          <w:rFonts w:hint="eastAsia" w:ascii="宋体" w:hAnsi="宋体" w:eastAsia="宋体" w:cs="Times New Roman"/>
          <w:color w:val="auto"/>
          <w:sz w:val="24"/>
          <w:szCs w:val="24"/>
        </w:rPr>
        <w:t>出外省学习时，副教授以上可以享受民航作为交通工具，学习期间只报销往返一次交通费，总费用（包含城市间交通费、住宿费、会务费）高级职称不超过</w:t>
      </w:r>
      <w:r>
        <w:rPr>
          <w:rFonts w:ascii="宋体" w:hAnsi="宋体" w:eastAsia="宋体" w:cs="Times New Roman"/>
          <w:color w:val="auto"/>
          <w:sz w:val="24"/>
          <w:szCs w:val="24"/>
        </w:rPr>
        <w:t>3500</w:t>
      </w:r>
      <w:r>
        <w:rPr>
          <w:rFonts w:hint="eastAsia" w:ascii="宋体" w:hAnsi="宋体" w:eastAsia="宋体" w:cs="Times New Roman"/>
          <w:color w:val="auto"/>
          <w:sz w:val="24"/>
          <w:szCs w:val="24"/>
        </w:rPr>
        <w:t>元，中级（含中级）职称以下不超过</w:t>
      </w:r>
      <w:r>
        <w:rPr>
          <w:rFonts w:ascii="宋体" w:hAnsi="宋体" w:eastAsia="宋体" w:cs="Times New Roman"/>
          <w:color w:val="auto"/>
          <w:sz w:val="24"/>
          <w:szCs w:val="24"/>
        </w:rPr>
        <w:t>3000</w:t>
      </w:r>
      <w:r>
        <w:rPr>
          <w:rFonts w:hint="eastAsia" w:ascii="宋体" w:hAnsi="宋体" w:eastAsia="宋体" w:cs="Times New Roman"/>
          <w:color w:val="auto"/>
          <w:sz w:val="24"/>
          <w:szCs w:val="24"/>
        </w:rPr>
        <w:t>元，超出部分由个人承担，具体报销细则按相关财务制度执行。</w:t>
      </w:r>
      <w:r>
        <w:rPr>
          <w:rFonts w:ascii="宋体" w:hAnsi="宋体" w:eastAsia="宋体" w:cs="Times New Roman"/>
          <w:color w:val="auto"/>
          <w:sz w:val="24"/>
          <w:szCs w:val="24"/>
        </w:rPr>
        <w:t xml:space="preserve">         </w:t>
      </w:r>
    </w:p>
    <w:p>
      <w:pPr>
        <w:widowControl/>
        <w:jc w:val="left"/>
        <w:rPr>
          <w:rFonts w:ascii="Calibri" w:hAnsi="Calibri" w:eastAsia="宋体" w:cs="Times New Roman"/>
          <w:color w:val="auto"/>
        </w:rPr>
      </w:pPr>
      <w:r>
        <w:rPr>
          <w:rFonts w:ascii="Calibri" w:hAnsi="Calibri" w:eastAsia="宋体" w:cs="Times New Roman"/>
          <w:color w:val="auto"/>
        </w:rPr>
        <w:br w:type="page"/>
      </w:r>
    </w:p>
    <w:p>
      <w:pPr>
        <w:pStyle w:val="3"/>
        <w:bidi w:val="0"/>
        <w:jc w:val="center"/>
        <w:rPr>
          <w:color w:val="auto"/>
        </w:rPr>
      </w:pPr>
      <w:bookmarkStart w:id="62" w:name="_Toc17734"/>
      <w:r>
        <w:rPr>
          <w:rFonts w:hint="eastAsia"/>
          <w:color w:val="auto"/>
        </w:rPr>
        <w:t>新教师培训制度</w:t>
      </w:r>
      <w:bookmarkEnd w:id="62"/>
    </w:p>
    <w:p>
      <w:pPr>
        <w:spacing w:line="440" w:lineRule="exact"/>
        <w:jc w:val="center"/>
        <w:rPr>
          <w:rFonts w:ascii="仿宋_GB2312" w:hAnsi="宋体" w:eastAsia="仿宋_GB2312" w:cs="Times New Roman"/>
          <w:b/>
          <w:color w:val="auto"/>
          <w:sz w:val="44"/>
          <w:szCs w:val="44"/>
        </w:rPr>
      </w:pP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新教师是学院发展的新生力量，是学院的未来和希望，做好新教师的培训工作对学院师资力量的增强和新教师自身发展至关重要，是学院实现可持续发展的关键所在。为了使新教师尽快适应工作环境</w:t>
      </w:r>
      <w:r>
        <w:rPr>
          <w:rFonts w:ascii="宋体" w:hAnsi="宋体" w:eastAsia="宋体" w:cs="Times New Roman"/>
          <w:color w:val="auto"/>
          <w:sz w:val="24"/>
          <w:szCs w:val="24"/>
        </w:rPr>
        <w:t>,熟悉我院各项制度要求,尽快成长为合格的教师，根据上级有关文件精神和我院师资队伍建设规划要求，结合学院实际，特制定</w:t>
      </w:r>
      <w:r>
        <w:rPr>
          <w:rFonts w:hint="eastAsia" w:ascii="宋体" w:hAnsi="宋体" w:eastAsia="宋体" w:cs="Times New Roman"/>
          <w:color w:val="auto"/>
          <w:sz w:val="24"/>
          <w:szCs w:val="24"/>
        </w:rPr>
        <w:t>特制定本制度。　　</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一、培训目标</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树立正确的职业教育观念，具有良好的职业道德；熟悉职业教育政策法规，熟悉职业教育教学内容；熟练掌握职业教育教学常规，熟练应用现代教育技术；完善专业知识结构，培养履行岗位职责能力；基本胜任教育教学工作，基本适应职业教育的需要。　　</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二、培训重点</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教师的职业行为规范、课堂教学基本技能。　</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三、培训形式</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在培训体制上，采用两级培训相结合（学院培训和</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培训），在培训方法上，采用自学、教学实践、带教和统一培训相结合。</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四、培训内容　　</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（一）师德修养培训：</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认真组织学习《高等学校教师职业道德规范》、《职业院校教师素质提高计划（</w:t>
      </w:r>
      <w:r>
        <w:rPr>
          <w:rFonts w:ascii="宋体" w:hAnsi="宋体" w:eastAsia="宋体" w:cs="Times New Roman"/>
          <w:color w:val="auto"/>
          <w:sz w:val="24"/>
          <w:szCs w:val="24"/>
        </w:rPr>
        <w:t>2017-2020）》等教育政策法规。着眼于加强新教师对当代教师职业、师德规范、教师职业素质的认识，确立爱岗敬业、无私奉献、热爱学生、为教育事业奉献聪明才智的正确思想。　</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（二）教学常规要求</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学习学院教育、教学工作的基本流程、规范、要求和教师基本职责，培养和规范新教师的教育教学行为。</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（三）教学技能培训</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职业教育教学、应用现代教育技术；专业知识结构，岗位职责能力、课堂教学基本技能培训。培养新教师将理论运用于实践和掌握教学基本功的能力，进行备课、说课方法训练。</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五、培训措施　　</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（一）强化岗前培训制度，切实提高青年教师教育教学的基本理论水平</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凡我院新进青年教师，必须在学院统一安排下，参加有计划，有目的的岗前培训班（包括由省教育厅组织的“高校教师理论知识培训”，学院新教师上岗培训），圆满完成岗前培训任务</w:t>
      </w:r>
      <w:r>
        <w:rPr>
          <w:rFonts w:ascii="宋体" w:hAnsi="宋体" w:eastAsia="宋体" w:cs="Times New Roman"/>
          <w:color w:val="auto"/>
          <w:sz w:val="24"/>
          <w:szCs w:val="24"/>
        </w:rPr>
        <w:t>,并取得培训合格证书。教师参加岗前培训的考核结果记入个人业务档案，作为教师资格认定和职务聘任的依据之一。凡没有经过岗前培训的教师一律不得认定教师资格和晋升助教以上职务。</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（二）实行上课前试讲制度，使学院教学质量得到保证</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青年教师到岗后，应根据各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安排的授课任务，认真备课。在正式上课前</w:t>
      </w:r>
      <w:r>
        <w:rPr>
          <w:rFonts w:ascii="宋体" w:hAnsi="宋体" w:eastAsia="宋体" w:cs="Times New Roman"/>
          <w:color w:val="auto"/>
          <w:sz w:val="24"/>
          <w:szCs w:val="24"/>
        </w:rPr>
        <w:t>,由各</w:t>
      </w:r>
      <w:r>
        <w:rPr>
          <w:rFonts w:hint="eastAsia" w:ascii="宋体" w:hAnsi="宋体" w:eastAsia="宋体" w:cs="Times New Roman"/>
          <w:color w:val="auto"/>
          <w:sz w:val="24"/>
          <w:szCs w:val="24"/>
          <w:lang w:eastAsia="zh-CN"/>
        </w:rPr>
        <w:t>二级学院</w:t>
      </w:r>
      <w:r>
        <w:rPr>
          <w:rFonts w:ascii="宋体" w:hAnsi="宋体" w:eastAsia="宋体" w:cs="Times New Roman"/>
          <w:color w:val="auto"/>
          <w:sz w:val="24"/>
          <w:szCs w:val="24"/>
        </w:rPr>
        <w:t>安排，</w:t>
      </w:r>
      <w:r>
        <w:rPr>
          <w:rFonts w:hint="eastAsia" w:ascii="宋体" w:hAnsi="宋体" w:eastAsia="宋体" w:cs="Times New Roman"/>
          <w:color w:val="auto"/>
          <w:sz w:val="24"/>
          <w:szCs w:val="24"/>
          <w:lang w:eastAsia="zh-CN"/>
        </w:rPr>
        <w:t>二级学院</w:t>
      </w:r>
      <w:r>
        <w:rPr>
          <w:rFonts w:ascii="宋体" w:hAnsi="宋体" w:eastAsia="宋体" w:cs="Times New Roman"/>
          <w:color w:val="auto"/>
          <w:sz w:val="24"/>
          <w:szCs w:val="24"/>
        </w:rPr>
        <w:t>主任参加，在教研室内部进行试讲，并就试讲情况提出具体参考建议。试讲过程应做好记录，包括时间、地点、参加人员、试讲人、试讲过程及内容，参加人员发言、讨论情况，具体建议等。对试讲合格者，由相</w:t>
      </w:r>
      <w:r>
        <w:rPr>
          <w:rFonts w:hint="eastAsia" w:ascii="宋体" w:hAnsi="宋体" w:eastAsia="宋体" w:cs="Times New Roman"/>
          <w:color w:val="auto"/>
          <w:sz w:val="24"/>
          <w:szCs w:val="24"/>
          <w:lang w:eastAsia="zh-CN"/>
        </w:rPr>
        <w:t>关系</w:t>
      </w:r>
      <w:r>
        <w:rPr>
          <w:rFonts w:ascii="宋体" w:hAnsi="宋体" w:eastAsia="宋体" w:cs="Times New Roman"/>
          <w:color w:val="auto"/>
          <w:sz w:val="24"/>
          <w:szCs w:val="24"/>
        </w:rPr>
        <w:t>填写《教师试讲考核表》，一式两份，分别由</w:t>
      </w:r>
      <w:r>
        <w:rPr>
          <w:rFonts w:hint="eastAsia" w:ascii="宋体" w:hAnsi="宋体" w:eastAsia="宋体" w:cs="Times New Roman"/>
          <w:color w:val="auto"/>
          <w:sz w:val="24"/>
          <w:szCs w:val="24"/>
          <w:lang w:eastAsia="zh-CN"/>
        </w:rPr>
        <w:t>二级学院</w:t>
      </w:r>
      <w:r>
        <w:rPr>
          <w:rFonts w:ascii="宋体" w:hAnsi="宋体" w:eastAsia="宋体" w:cs="Times New Roman"/>
          <w:color w:val="auto"/>
          <w:sz w:val="24"/>
          <w:szCs w:val="24"/>
        </w:rPr>
        <w:t>、</w:t>
      </w:r>
      <w:r>
        <w:rPr>
          <w:rFonts w:hint="eastAsia" w:ascii="宋体" w:hAnsi="宋体" w:eastAsia="宋体" w:cs="Times New Roman"/>
          <w:color w:val="auto"/>
          <w:sz w:val="24"/>
          <w:szCs w:val="24"/>
          <w:lang w:eastAsia="zh-CN"/>
        </w:rPr>
        <w:t>教务部</w:t>
      </w:r>
      <w:r>
        <w:rPr>
          <w:rFonts w:ascii="宋体" w:hAnsi="宋体" w:eastAsia="宋体" w:cs="Times New Roman"/>
          <w:color w:val="auto"/>
          <w:sz w:val="24"/>
          <w:szCs w:val="24"/>
        </w:rPr>
        <w:t>保存备案。</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新教师只有取得岗前培训合格证和试讲合格后，方可正式开课。</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（三）积极发挥中老年教师的传帮带作用</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指导教师原则上应具有副高及以上职称且作风正派、品行端正、治学严谨、教学科研水平较高。指导教师人选由各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会同</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根据每年补充新教师的具体情况拟定，并报经分管院领导审批。指导教师根据指导对象的具体情况制订培养方案，明确培养目标、措施、步骤，经教研室讨论通过后，由教研室报所在</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审核，</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审核通过后将培养方案统一报</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备案，并由教研室负责组织实施，</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负责督促、检查、考评各教研室指导教师任务完成的情况。新教师要虚心学习带教老师的教学艺术。要求每月至少互相听</w:t>
      </w:r>
      <w:r>
        <w:rPr>
          <w:rFonts w:ascii="宋体" w:hAnsi="宋体" w:eastAsia="宋体" w:cs="Times New Roman"/>
          <w:color w:val="auto"/>
          <w:sz w:val="24"/>
          <w:szCs w:val="24"/>
        </w:rPr>
        <w:t>2节课。</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指导教师的主要任务是对新教师在教书育人、教案编写、课堂板书、讲课方式、教学法研究、实践技能培养途径以及自学提高等方面进行具体指导，并定期检查、年终写出考核评语，帮助他们制订个人成长计划或职业生涯规划，落实培养措施。学院鼓励并要求中老年教师，尤其是骨干教师和学科带头人、专业带头人担任新教师的指导老师，带教时间为一年。</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每学年底，由</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组织人员会同</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、教研室依据培养方案落实、检查、评估指导教师任务完成情况。</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（四）教研活动与听课</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学院要求新教师必须参加各项教研活动，通过集体备课、听课、评课等，让新教师尽快掌握教法。要求新教师积极参与教研室专业建设、学生教育管理、实习、实验等工作，使新教师在具体实践中迅速成长。</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实行动态管理和指导：</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和</w:t>
      </w:r>
      <w:r>
        <w:rPr>
          <w:rFonts w:hint="eastAsia" w:ascii="宋体" w:hAnsi="宋体" w:eastAsia="宋体" w:cs="Times New Roman"/>
          <w:color w:val="auto"/>
          <w:sz w:val="24"/>
          <w:szCs w:val="24"/>
          <w:lang w:eastAsia="zh-CN"/>
        </w:rPr>
        <w:t>教务部</w:t>
      </w:r>
      <w:r>
        <w:rPr>
          <w:rFonts w:hint="eastAsia" w:ascii="宋体" w:hAnsi="宋体" w:eastAsia="宋体" w:cs="Times New Roman"/>
          <w:color w:val="auto"/>
          <w:sz w:val="24"/>
          <w:szCs w:val="24"/>
        </w:rPr>
        <w:t>每学期要对每位教师听课</w:t>
      </w:r>
      <w:r>
        <w:rPr>
          <w:rFonts w:ascii="宋体" w:hAnsi="宋体" w:eastAsia="宋体" w:cs="Times New Roman"/>
          <w:color w:val="auto"/>
          <w:sz w:val="24"/>
          <w:szCs w:val="24"/>
        </w:rPr>
        <w:t>2-3次，同时召开学生座谈会，对各个教学环节进行认真检查，并及时反馈意见和信息，进行即时在线督导。</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（五）顶岗实践培训</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新入职的专业课教师原则上上岗前到医院（企业）参加顶岗实践培训，在入职一年内参加不少于一个月的顶岗实践。顶岗实践期间，服从医院（企业）的管理规定及考勤。专业课新教师顶岗实践由各</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统筹安排，</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定期对参加顶岗实践活动的教师进行检查。</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六、新教师考核</w:t>
      </w:r>
    </w:p>
    <w:p>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自新教师入职开始，考核期为一年。考核成绩达</w:t>
      </w:r>
      <w:r>
        <w:rPr>
          <w:rFonts w:ascii="宋体" w:hAnsi="宋体" w:eastAsia="宋体" w:cs="Times New Roman"/>
          <w:color w:val="auto"/>
          <w:sz w:val="24"/>
          <w:szCs w:val="24"/>
        </w:rPr>
        <w:t>80分（含80分）以上为合格，不合格者将延长考核期一年。对于不能完成培训任务或在第一年见习期内违反教学纪律的新教师，除按照有关学院规定给与相应纪律处分及处罚外，将给与暂时调离教师工作岗位、观察留用的处理。</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具体考核方法如下：</w:t>
      </w:r>
    </w:p>
    <w:p>
      <w:pPr>
        <w:widowControl w:val="0"/>
        <w:numPr>
          <w:ilvl w:val="0"/>
          <w:numId w:val="37"/>
        </w:numPr>
        <w:spacing w:line="360" w:lineRule="auto"/>
        <w:ind w:left="1423" w:hanging="855"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工作态度、精神状态（</w:t>
      </w:r>
      <w:r>
        <w:rPr>
          <w:rFonts w:ascii="宋体" w:hAnsi="宋体" w:eastAsia="宋体" w:cs="Times New Roman"/>
          <w:color w:val="auto"/>
          <w:kern w:val="2"/>
          <w:sz w:val="24"/>
          <w:szCs w:val="24"/>
          <w:lang w:val="en-US" w:eastAsia="zh-CN" w:bidi="ar-SA"/>
        </w:rPr>
        <w:t>10分）</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工作认真、积极、负责、精神饱满，态度谦虚，团结合作。此项考核由指导教师和</w:t>
      </w:r>
      <w:r>
        <w:rPr>
          <w:rFonts w:hint="eastAsia" w:ascii="宋体" w:hAnsi="宋体" w:eastAsia="宋体" w:cs="Times New Roman"/>
          <w:color w:val="auto"/>
          <w:sz w:val="24"/>
          <w:szCs w:val="24"/>
          <w:lang w:eastAsia="zh-CN"/>
        </w:rPr>
        <w:t>二级学院</w:t>
      </w:r>
      <w:r>
        <w:rPr>
          <w:rFonts w:hint="eastAsia" w:ascii="宋体" w:hAnsi="宋体" w:eastAsia="宋体" w:cs="Times New Roman"/>
          <w:color w:val="auto"/>
          <w:sz w:val="24"/>
          <w:szCs w:val="24"/>
        </w:rPr>
        <w:t>填写具体意见和评分建议。</w:t>
      </w:r>
    </w:p>
    <w:p>
      <w:pPr>
        <w:widowControl w:val="0"/>
        <w:numPr>
          <w:ilvl w:val="0"/>
          <w:numId w:val="37"/>
        </w:numPr>
        <w:spacing w:line="360" w:lineRule="auto"/>
        <w:ind w:left="1423" w:hanging="855"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上课考勤（</w:t>
      </w:r>
      <w:r>
        <w:rPr>
          <w:rFonts w:ascii="宋体" w:hAnsi="宋体" w:eastAsia="宋体" w:cs="Times New Roman"/>
          <w:color w:val="auto"/>
          <w:kern w:val="2"/>
          <w:sz w:val="24"/>
          <w:szCs w:val="24"/>
          <w:lang w:val="en-US" w:eastAsia="zh-CN" w:bidi="ar-SA"/>
        </w:rPr>
        <w:t>10分）</w:t>
      </w:r>
    </w:p>
    <w:p>
      <w:pPr>
        <w:spacing w:line="360" w:lineRule="auto"/>
        <w:ind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上课迟到、早退一次扣</w:t>
      </w:r>
      <w:r>
        <w:rPr>
          <w:rFonts w:ascii="宋体" w:hAnsi="宋体" w:eastAsia="宋体" w:cs="Times New Roman"/>
          <w:color w:val="auto"/>
          <w:sz w:val="24"/>
          <w:szCs w:val="24"/>
        </w:rPr>
        <w:t>2分；没有按照相关规定办理请假手续私自调课、旷课一次扣10分（如出现以上两种情况，按照学校有关教学事故认定及处理规定同时给予相应的处分）。此项必须达到7分（含7分）以上，低于7分评定为不合格。此项考核参考新教师任教班课堂考勤表及</w:t>
      </w:r>
      <w:r>
        <w:rPr>
          <w:rFonts w:hint="eastAsia" w:ascii="宋体" w:hAnsi="宋体" w:eastAsia="宋体" w:cs="Times New Roman"/>
          <w:color w:val="auto"/>
          <w:sz w:val="24"/>
          <w:szCs w:val="24"/>
          <w:lang w:eastAsia="zh-CN"/>
        </w:rPr>
        <w:t>二级学院</w:t>
      </w:r>
      <w:r>
        <w:rPr>
          <w:rFonts w:ascii="宋体" w:hAnsi="宋体" w:eastAsia="宋体" w:cs="Times New Roman"/>
          <w:color w:val="auto"/>
          <w:sz w:val="24"/>
          <w:szCs w:val="24"/>
        </w:rPr>
        <w:t>和</w:t>
      </w:r>
      <w:r>
        <w:rPr>
          <w:rFonts w:hint="eastAsia" w:ascii="宋体" w:hAnsi="宋体" w:eastAsia="宋体" w:cs="Times New Roman"/>
          <w:color w:val="auto"/>
          <w:sz w:val="24"/>
          <w:szCs w:val="24"/>
          <w:lang w:eastAsia="zh-CN"/>
        </w:rPr>
        <w:t>教务部</w:t>
      </w:r>
      <w:r>
        <w:rPr>
          <w:rFonts w:ascii="宋体" w:hAnsi="宋体" w:eastAsia="宋体" w:cs="Times New Roman"/>
          <w:color w:val="auto"/>
          <w:sz w:val="24"/>
          <w:szCs w:val="24"/>
        </w:rPr>
        <w:t>查课记录，由</w:t>
      </w:r>
      <w:r>
        <w:rPr>
          <w:rFonts w:hint="eastAsia" w:ascii="宋体" w:hAnsi="宋体" w:eastAsia="宋体" w:cs="Times New Roman"/>
          <w:color w:val="auto"/>
          <w:sz w:val="24"/>
          <w:szCs w:val="24"/>
          <w:lang w:eastAsia="zh-CN"/>
        </w:rPr>
        <w:t>教务部</w:t>
      </w:r>
      <w:r>
        <w:rPr>
          <w:rFonts w:ascii="宋体" w:hAnsi="宋体" w:eastAsia="宋体" w:cs="Times New Roman"/>
          <w:color w:val="auto"/>
          <w:sz w:val="24"/>
          <w:szCs w:val="24"/>
        </w:rPr>
        <w:t>评分。</w:t>
      </w:r>
    </w:p>
    <w:p>
      <w:pPr>
        <w:widowControl w:val="0"/>
        <w:numPr>
          <w:ilvl w:val="0"/>
          <w:numId w:val="37"/>
        </w:numPr>
        <w:spacing w:line="360" w:lineRule="auto"/>
        <w:ind w:left="1423" w:hanging="855"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教研活动考勤（</w:t>
      </w:r>
      <w:r>
        <w:rPr>
          <w:rFonts w:ascii="宋体" w:hAnsi="宋体" w:eastAsia="宋体" w:cs="Times New Roman"/>
          <w:color w:val="auto"/>
          <w:kern w:val="2"/>
          <w:sz w:val="24"/>
          <w:szCs w:val="24"/>
          <w:lang w:val="en-US" w:eastAsia="zh-CN" w:bidi="ar-SA"/>
        </w:rPr>
        <w:t>10分）</w:t>
      </w:r>
    </w:p>
    <w:p>
      <w:pPr>
        <w:spacing w:line="360" w:lineRule="auto"/>
        <w:ind w:firstLine="570"/>
        <w:rPr>
          <w:rFonts w:ascii="宋体" w:hAnsi="宋体" w:eastAsia="宋体" w:cs="Times New Roman"/>
          <w:color w:val="auto"/>
          <w:sz w:val="24"/>
          <w:szCs w:val="24"/>
        </w:rPr>
      </w:pPr>
      <w:r>
        <w:rPr>
          <w:rFonts w:hint="eastAsia" w:ascii="宋体" w:hAnsi="宋体" w:eastAsia="宋体" w:cs="Times New Roman"/>
          <w:color w:val="auto"/>
          <w:sz w:val="24"/>
          <w:szCs w:val="24"/>
        </w:rPr>
        <w:t>新教师必须参加各项教研活动，积极参与教研室专业建设、学生教育管理、实习、实验等工作。以上活动缺席一次（含请假）扣</w:t>
      </w:r>
      <w:r>
        <w:rPr>
          <w:rFonts w:ascii="宋体" w:hAnsi="宋体" w:eastAsia="宋体" w:cs="Times New Roman"/>
          <w:color w:val="auto"/>
          <w:sz w:val="24"/>
          <w:szCs w:val="24"/>
        </w:rPr>
        <w:t>1分。低于6分评定为不合格。</w:t>
      </w:r>
    </w:p>
    <w:p>
      <w:pPr>
        <w:widowControl w:val="0"/>
        <w:numPr>
          <w:ilvl w:val="0"/>
          <w:numId w:val="37"/>
        </w:numPr>
        <w:spacing w:line="360" w:lineRule="auto"/>
        <w:ind w:left="1423" w:hanging="855"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课堂教学（</w:t>
      </w:r>
      <w:r>
        <w:rPr>
          <w:rFonts w:ascii="宋体" w:hAnsi="宋体" w:eastAsia="宋体" w:cs="Times New Roman"/>
          <w:color w:val="auto"/>
          <w:kern w:val="2"/>
          <w:sz w:val="24"/>
          <w:szCs w:val="24"/>
          <w:lang w:val="en-US" w:eastAsia="zh-CN" w:bidi="ar-SA"/>
        </w:rPr>
        <w:t>50分）</w:t>
      </w:r>
    </w:p>
    <w:p>
      <w:pPr>
        <w:spacing w:line="360" w:lineRule="auto"/>
        <w:ind w:firstLine="570"/>
        <w:rPr>
          <w:rFonts w:ascii="宋体" w:hAnsi="宋体" w:eastAsia="宋体" w:cs="Times New Roman"/>
          <w:color w:val="auto"/>
          <w:sz w:val="24"/>
          <w:szCs w:val="24"/>
        </w:rPr>
      </w:pPr>
      <w:r>
        <w:rPr>
          <w:rFonts w:ascii="宋体" w:hAnsi="宋体" w:eastAsia="宋体" w:cs="Times New Roman"/>
          <w:color w:val="auto"/>
          <w:sz w:val="24"/>
          <w:szCs w:val="24"/>
        </w:rPr>
        <w:t>1.见习期间，每名新教师每学期要上一节展示课，由指导教师、同教研组骨干教师和</w:t>
      </w:r>
      <w:r>
        <w:rPr>
          <w:rFonts w:hint="eastAsia" w:ascii="宋体" w:hAnsi="宋体" w:eastAsia="宋体" w:cs="Times New Roman"/>
          <w:color w:val="auto"/>
          <w:sz w:val="24"/>
          <w:szCs w:val="24"/>
          <w:lang w:eastAsia="zh-CN"/>
        </w:rPr>
        <w:t>二级学院</w:t>
      </w:r>
      <w:r>
        <w:rPr>
          <w:rFonts w:ascii="宋体" w:hAnsi="宋体" w:eastAsia="宋体" w:cs="Times New Roman"/>
          <w:color w:val="auto"/>
          <w:sz w:val="24"/>
          <w:szCs w:val="24"/>
        </w:rPr>
        <w:t>主任组成评委会给予评分，每次展示课满分10分，次项共20分。</w:t>
      </w:r>
    </w:p>
    <w:p>
      <w:pPr>
        <w:spacing w:line="360" w:lineRule="auto"/>
        <w:ind w:firstLine="570"/>
        <w:rPr>
          <w:rFonts w:ascii="宋体" w:hAnsi="宋体" w:eastAsia="宋体" w:cs="Times New Roman"/>
          <w:color w:val="auto"/>
          <w:sz w:val="24"/>
          <w:szCs w:val="24"/>
        </w:rPr>
      </w:pPr>
      <w:r>
        <w:rPr>
          <w:rFonts w:ascii="宋体" w:hAnsi="宋体" w:eastAsia="宋体" w:cs="Times New Roman"/>
          <w:color w:val="auto"/>
          <w:sz w:val="24"/>
          <w:szCs w:val="24"/>
        </w:rPr>
        <w:t>2.新教师授课情况（20分）。此项分数根据任教班评教评学平均分折算，每个学期满分10分。</w:t>
      </w:r>
    </w:p>
    <w:p>
      <w:pPr>
        <w:spacing w:line="360" w:lineRule="auto"/>
        <w:ind w:firstLine="570"/>
        <w:rPr>
          <w:rFonts w:ascii="宋体" w:hAnsi="宋体" w:eastAsia="宋体" w:cs="Times New Roman"/>
          <w:color w:val="auto"/>
          <w:sz w:val="24"/>
          <w:szCs w:val="24"/>
        </w:rPr>
      </w:pPr>
      <w:r>
        <w:rPr>
          <w:rFonts w:ascii="宋体" w:hAnsi="宋体" w:eastAsia="宋体" w:cs="Times New Roman"/>
          <w:color w:val="auto"/>
          <w:sz w:val="24"/>
          <w:szCs w:val="24"/>
        </w:rPr>
        <w:t>3.新教师需按照有关要求按时上交教案、讲稿、教学PPT、期末考试成绩等教学文件（10分）。不按时提交的，一次扣1分。</w:t>
      </w:r>
    </w:p>
    <w:p>
      <w:pPr>
        <w:widowControl w:val="0"/>
        <w:numPr>
          <w:ilvl w:val="0"/>
          <w:numId w:val="37"/>
        </w:numPr>
        <w:spacing w:line="360" w:lineRule="auto"/>
        <w:ind w:left="1423" w:hanging="855" w:firstLineChars="0"/>
        <w:jc w:val="both"/>
        <w:rPr>
          <w:rFonts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顶岗实践</w:t>
      </w:r>
    </w:p>
    <w:p>
      <w:pPr>
        <w:spacing w:line="360" w:lineRule="auto"/>
        <w:ind w:left="560"/>
        <w:rPr>
          <w:rFonts w:ascii="宋体" w:hAnsi="宋体" w:eastAsia="宋体" w:cs="Times New Roman"/>
          <w:color w:val="auto"/>
          <w:sz w:val="24"/>
          <w:szCs w:val="24"/>
        </w:rPr>
      </w:pPr>
      <w:r>
        <w:rPr>
          <w:rFonts w:hint="eastAsia" w:ascii="宋体" w:hAnsi="宋体" w:eastAsia="宋体" w:cs="Times New Roman"/>
          <w:color w:val="auto"/>
          <w:sz w:val="24"/>
          <w:szCs w:val="24"/>
        </w:rPr>
        <w:t>未完成顶岗实践任务的教师不能通过考核。</w:t>
      </w:r>
    </w:p>
    <w:p>
      <w:pPr>
        <w:spacing w:line="360" w:lineRule="auto"/>
        <w:ind w:left="560"/>
        <w:rPr>
          <w:rFonts w:ascii="宋体" w:hAnsi="宋体" w:eastAsia="宋体" w:cs="Times New Roman"/>
          <w:color w:val="auto"/>
          <w:sz w:val="24"/>
          <w:szCs w:val="24"/>
        </w:rPr>
      </w:pPr>
      <w:r>
        <w:rPr>
          <w:rFonts w:hint="eastAsia" w:ascii="宋体" w:hAnsi="宋体" w:eastAsia="宋体" w:cs="Times New Roman"/>
          <w:color w:val="auto"/>
          <w:sz w:val="24"/>
          <w:szCs w:val="24"/>
        </w:rPr>
        <w:t>（六）学习能力（</w:t>
      </w:r>
      <w:r>
        <w:rPr>
          <w:rFonts w:ascii="宋体" w:hAnsi="宋体" w:eastAsia="宋体" w:cs="Times New Roman"/>
          <w:color w:val="auto"/>
          <w:sz w:val="24"/>
          <w:szCs w:val="24"/>
        </w:rPr>
        <w:t>20分）</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1.新教师参加</w:t>
      </w:r>
      <w:r>
        <w:rPr>
          <w:rFonts w:hint="eastAsia" w:ascii="宋体" w:hAnsi="宋体" w:eastAsia="宋体" w:cs="Times New Roman"/>
          <w:color w:val="auto"/>
          <w:sz w:val="24"/>
          <w:szCs w:val="24"/>
          <w:lang w:eastAsia="zh-CN"/>
        </w:rPr>
        <w:t>教务部</w:t>
      </w:r>
      <w:r>
        <w:rPr>
          <w:rFonts w:ascii="宋体" w:hAnsi="宋体" w:eastAsia="宋体" w:cs="Times New Roman"/>
          <w:color w:val="auto"/>
          <w:sz w:val="24"/>
          <w:szCs w:val="24"/>
        </w:rPr>
        <w:t>安排的《高等学校教师职业道德规范》、《职业院校教师素质提高计划（2017-2020）》等教育政策法规学习，需按要求提交个人学习总结材料（每份材料1500字以上，打印）。此项满分10分。每缺交一份材料扣2分。</w:t>
      </w:r>
    </w:p>
    <w:p>
      <w:pPr>
        <w:spacing w:line="360" w:lineRule="auto"/>
        <w:ind w:firstLine="480" w:firstLineChars="200"/>
        <w:rPr>
          <w:rFonts w:ascii="宋体" w:hAnsi="宋体" w:eastAsia="宋体" w:cs="Times New Roman"/>
          <w:color w:val="auto"/>
          <w:sz w:val="24"/>
          <w:szCs w:val="24"/>
        </w:rPr>
      </w:pPr>
      <w:r>
        <w:rPr>
          <w:rFonts w:ascii="宋体" w:hAnsi="宋体" w:eastAsia="宋体" w:cs="Times New Roman"/>
          <w:color w:val="auto"/>
          <w:sz w:val="24"/>
          <w:szCs w:val="24"/>
        </w:rPr>
        <w:t>2.新教师第一学期前两个月每周要听课2-3节，两个月后每月听课3-4节。两个学期听课量要达到35节（含35节）以上。每缺课一节扣1分。</w:t>
      </w:r>
    </w:p>
    <w:p>
      <w:pPr>
        <w:rPr>
          <w:rFonts w:ascii="Calibri" w:hAnsi="Calibri" w:eastAsia="宋体" w:cs="Times New Roman"/>
          <w:color w:val="auto"/>
        </w:rPr>
      </w:pPr>
    </w:p>
    <w:p>
      <w:pPr>
        <w:rPr>
          <w:rFonts w:ascii="Calibri" w:hAnsi="Calibri" w:eastAsia="宋体" w:cs="Times New Roman"/>
          <w:color w:val="auto"/>
        </w:rPr>
      </w:pPr>
    </w:p>
    <w:p>
      <w:pPr>
        <w:rPr>
          <w:rFonts w:ascii="Calibri" w:hAnsi="Calibri" w:eastAsia="宋体" w:cs="Times New Roman"/>
          <w:color w:val="auto"/>
        </w:rPr>
      </w:pPr>
    </w:p>
    <w:p>
      <w:pPr>
        <w:numPr>
          <w:ilvl w:val="0"/>
          <w:numId w:val="0"/>
        </w:numPr>
        <w:rPr>
          <w:rFonts w:hint="eastAsia"/>
          <w:color w:val="auto"/>
        </w:rPr>
      </w:pPr>
    </w:p>
    <w:p>
      <w:pPr>
        <w:spacing w:line="360" w:lineRule="auto"/>
        <w:jc w:val="center"/>
        <w:rPr>
          <w:rFonts w:hint="eastAsia" w:ascii="宋体" w:hAnsi="宋体" w:eastAsia="宋体" w:cs="Times New Roman"/>
          <w:b/>
          <w:color w:val="auto"/>
          <w:sz w:val="32"/>
          <w:szCs w:val="32"/>
        </w:rPr>
      </w:pPr>
    </w:p>
    <w:p>
      <w:pPr>
        <w:spacing w:line="360" w:lineRule="auto"/>
        <w:jc w:val="center"/>
        <w:rPr>
          <w:rFonts w:hint="eastAsia" w:ascii="宋体" w:hAnsi="宋体" w:eastAsia="宋体" w:cs="Times New Roman"/>
          <w:b/>
          <w:color w:val="auto"/>
          <w:szCs w:val="21"/>
        </w:rPr>
      </w:pPr>
    </w:p>
    <w:p>
      <w:pPr>
        <w:spacing w:line="360" w:lineRule="auto"/>
        <w:jc w:val="center"/>
        <w:rPr>
          <w:rFonts w:hint="eastAsia" w:ascii="宋体" w:hAnsi="宋体" w:eastAsia="宋体" w:cs="Times New Roman"/>
          <w:b/>
          <w:color w:val="auto"/>
          <w:szCs w:val="21"/>
        </w:rPr>
      </w:pPr>
    </w:p>
    <w:p>
      <w:pPr>
        <w:adjustRightInd w:val="0"/>
        <w:snapToGrid w:val="0"/>
        <w:spacing w:line="360" w:lineRule="auto"/>
        <w:ind w:firstLine="640" w:firstLineChars="200"/>
        <w:jc w:val="left"/>
        <w:rPr>
          <w:rFonts w:hint="eastAsia" w:ascii="仿宋" w:hAnsi="仿宋" w:eastAsia="仿宋" w:cs="仿宋"/>
          <w:color w:val="auto"/>
          <w:kern w:val="0"/>
          <w:sz w:val="32"/>
          <w:szCs w:val="32"/>
          <w:lang w:val="en-US" w:eastAsia="zh-CN" w:bidi="ar-SA"/>
        </w:rPr>
      </w:pPr>
    </w:p>
    <w:p>
      <w:pPr>
        <w:adjustRightInd w:val="0"/>
        <w:snapToGrid w:val="0"/>
        <w:spacing w:line="360" w:lineRule="auto"/>
        <w:ind w:firstLine="640" w:firstLineChars="200"/>
        <w:jc w:val="left"/>
        <w:rPr>
          <w:rFonts w:hint="eastAsia" w:ascii="仿宋" w:hAnsi="仿宋" w:eastAsia="仿宋" w:cs="仿宋"/>
          <w:color w:val="auto"/>
          <w:kern w:val="0"/>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Noto Sans Mono CJK JP Regular">
    <w:altName w:val="Arial"/>
    <w:panose1 w:val="000000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FangSong_GB2312 Identity H">
    <w:altName w:val="Times New Roman"/>
    <w:panose1 w:val="00000000000000000000"/>
    <w:charset w:val="00"/>
    <w:family w:val="auto"/>
    <w:pitch w:val="default"/>
    <w:sig w:usb0="00000000" w:usb1="00000000" w:usb2="00000000" w:usb3="00000000" w:csb0="00000001" w:csb1="00000000"/>
  </w:font>
  <w:font w:name="MingLiU_HKSCS">
    <w:panose1 w:val="02020500000000000000"/>
    <w:charset w:val="88"/>
    <w:family w:val="roman"/>
    <w:pitch w:val="default"/>
    <w:sig w:usb0="A00002FF" w:usb1="38CFFCFA" w:usb2="00000016" w:usb3="00000000" w:csb0="0010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0F6F2F"/>
    <w:multiLevelType w:val="singleLevel"/>
    <w:tmpl w:val="DB0F6F2F"/>
    <w:lvl w:ilvl="0" w:tentative="0">
      <w:start w:val="3"/>
      <w:numFmt w:val="chineseCounting"/>
      <w:suff w:val="space"/>
      <w:lvlText w:val="第%1部分"/>
      <w:lvlJc w:val="left"/>
      <w:rPr>
        <w:rFonts w:hint="eastAsia"/>
      </w:rPr>
    </w:lvl>
  </w:abstractNum>
  <w:abstractNum w:abstractNumId="1">
    <w:nsid w:val="07C969CE"/>
    <w:multiLevelType w:val="multilevel"/>
    <w:tmpl w:val="07C969CE"/>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8380B75"/>
    <w:multiLevelType w:val="multilevel"/>
    <w:tmpl w:val="08380B75"/>
    <w:lvl w:ilvl="0" w:tentative="0">
      <w:start w:val="1"/>
      <w:numFmt w:val="chineseCountingThousand"/>
      <w:lvlText w:val="(%1)"/>
      <w:lvlJc w:val="left"/>
      <w:pPr>
        <w:tabs>
          <w:tab w:val="left" w:pos="980"/>
        </w:tabs>
        <w:ind w:left="980" w:hanging="420"/>
      </w:pPr>
      <w:rPr>
        <w:rFonts w:cs="Times New Roman"/>
      </w:rPr>
    </w:lvl>
    <w:lvl w:ilvl="1" w:tentative="0">
      <w:start w:val="1"/>
      <w:numFmt w:val="lowerLetter"/>
      <w:lvlText w:val="%2)"/>
      <w:lvlJc w:val="left"/>
      <w:pPr>
        <w:tabs>
          <w:tab w:val="left" w:pos="1400"/>
        </w:tabs>
        <w:ind w:left="1400" w:hanging="420"/>
      </w:pPr>
      <w:rPr>
        <w:rFonts w:cs="Times New Roman"/>
      </w:rPr>
    </w:lvl>
    <w:lvl w:ilvl="2" w:tentative="0">
      <w:start w:val="1"/>
      <w:numFmt w:val="lowerRoman"/>
      <w:lvlText w:val="%3."/>
      <w:lvlJc w:val="right"/>
      <w:pPr>
        <w:tabs>
          <w:tab w:val="left" w:pos="1820"/>
        </w:tabs>
        <w:ind w:left="1820" w:hanging="420"/>
      </w:pPr>
      <w:rPr>
        <w:rFonts w:cs="Times New Roman"/>
      </w:rPr>
    </w:lvl>
    <w:lvl w:ilvl="3" w:tentative="0">
      <w:start w:val="1"/>
      <w:numFmt w:val="decimal"/>
      <w:lvlText w:val="%4."/>
      <w:lvlJc w:val="left"/>
      <w:pPr>
        <w:tabs>
          <w:tab w:val="left" w:pos="2240"/>
        </w:tabs>
        <w:ind w:left="2240" w:hanging="420"/>
      </w:pPr>
      <w:rPr>
        <w:rFonts w:cs="Times New Roman"/>
      </w:rPr>
    </w:lvl>
    <w:lvl w:ilvl="4" w:tentative="0">
      <w:start w:val="1"/>
      <w:numFmt w:val="lowerLetter"/>
      <w:lvlText w:val="%5)"/>
      <w:lvlJc w:val="left"/>
      <w:pPr>
        <w:tabs>
          <w:tab w:val="left" w:pos="2660"/>
        </w:tabs>
        <w:ind w:left="2660" w:hanging="420"/>
      </w:pPr>
      <w:rPr>
        <w:rFonts w:cs="Times New Roman"/>
      </w:rPr>
    </w:lvl>
    <w:lvl w:ilvl="5" w:tentative="0">
      <w:start w:val="1"/>
      <w:numFmt w:val="lowerRoman"/>
      <w:lvlText w:val="%6."/>
      <w:lvlJc w:val="right"/>
      <w:pPr>
        <w:tabs>
          <w:tab w:val="left" w:pos="3080"/>
        </w:tabs>
        <w:ind w:left="3080" w:hanging="420"/>
      </w:pPr>
      <w:rPr>
        <w:rFonts w:cs="Times New Roman"/>
      </w:rPr>
    </w:lvl>
    <w:lvl w:ilvl="6" w:tentative="0">
      <w:start w:val="1"/>
      <w:numFmt w:val="decimal"/>
      <w:lvlText w:val="%7."/>
      <w:lvlJc w:val="left"/>
      <w:pPr>
        <w:tabs>
          <w:tab w:val="left" w:pos="3500"/>
        </w:tabs>
        <w:ind w:left="3500" w:hanging="420"/>
      </w:pPr>
      <w:rPr>
        <w:rFonts w:cs="Times New Roman"/>
      </w:rPr>
    </w:lvl>
    <w:lvl w:ilvl="7" w:tentative="0">
      <w:start w:val="1"/>
      <w:numFmt w:val="lowerLetter"/>
      <w:lvlText w:val="%8)"/>
      <w:lvlJc w:val="left"/>
      <w:pPr>
        <w:tabs>
          <w:tab w:val="left" w:pos="3920"/>
        </w:tabs>
        <w:ind w:left="3920" w:hanging="420"/>
      </w:pPr>
      <w:rPr>
        <w:rFonts w:cs="Times New Roman"/>
      </w:rPr>
    </w:lvl>
    <w:lvl w:ilvl="8" w:tentative="0">
      <w:start w:val="1"/>
      <w:numFmt w:val="lowerRoman"/>
      <w:lvlText w:val="%9."/>
      <w:lvlJc w:val="right"/>
      <w:pPr>
        <w:tabs>
          <w:tab w:val="left" w:pos="4340"/>
        </w:tabs>
        <w:ind w:left="4340" w:hanging="420"/>
      </w:pPr>
      <w:rPr>
        <w:rFonts w:cs="Times New Roman"/>
      </w:rPr>
    </w:lvl>
  </w:abstractNum>
  <w:abstractNum w:abstractNumId="3">
    <w:nsid w:val="09C7481C"/>
    <w:multiLevelType w:val="multilevel"/>
    <w:tmpl w:val="09C7481C"/>
    <w:lvl w:ilvl="0" w:tentative="0">
      <w:start w:val="1"/>
      <w:numFmt w:val="decimal"/>
      <w:lvlText w:val="%1."/>
      <w:lvlJc w:val="left"/>
      <w:pPr>
        <w:ind w:left="840" w:hanging="420"/>
      </w:pPr>
      <w:rPr>
        <w:rFonts w:hint="eastAsia"/>
      </w:rPr>
    </w:lvl>
    <w:lvl w:ilvl="1" w:tentative="0">
      <w:start w:val="1"/>
      <w:numFmt w:val="decimal"/>
      <w:lvlText w:val="%2."/>
      <w:lvlJc w:val="left"/>
      <w:pPr>
        <w:ind w:left="1260" w:hanging="420"/>
      </w:pPr>
      <w:rPr>
        <w:rFonts w:hint="eastAsia"/>
      </w:rPr>
    </w:lvl>
    <w:lvl w:ilvl="2" w:tentative="0">
      <w:start w:val="1"/>
      <w:numFmt w:val="decimal"/>
      <w:lvlText w:val="%3、"/>
      <w:lvlJc w:val="left"/>
      <w:pPr>
        <w:ind w:left="1620" w:hanging="360"/>
      </w:pPr>
      <w:rPr>
        <w:rFonts w:hint="default"/>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6AF5B9F"/>
    <w:multiLevelType w:val="multilevel"/>
    <w:tmpl w:val="16AF5B9F"/>
    <w:lvl w:ilvl="0" w:tentative="0">
      <w:start w:val="1"/>
      <w:numFmt w:val="chineseCountingThousand"/>
      <w:lvlText w:val="(%1)"/>
      <w:lvlJc w:val="left"/>
      <w:pPr>
        <w:ind w:left="900" w:hanging="420"/>
      </w:pPr>
      <w:rPr>
        <w:rFonts w:cs="Times New Roman"/>
      </w:rPr>
    </w:lvl>
    <w:lvl w:ilvl="1" w:tentative="0">
      <w:start w:val="6"/>
      <w:numFmt w:val="japaneseCounting"/>
      <w:lvlText w:val="%2、"/>
      <w:lvlJc w:val="left"/>
      <w:pPr>
        <w:ind w:left="1410" w:hanging="510"/>
      </w:pPr>
      <w:rPr>
        <w:rFonts w:hint="default" w:cs="Times New Roman"/>
        <w:b/>
      </w:rPr>
    </w:lvl>
    <w:lvl w:ilvl="2" w:tentative="0">
      <w:start w:val="1"/>
      <w:numFmt w:val="lowerRoman"/>
      <w:lvlText w:val="%3."/>
      <w:lvlJc w:val="right"/>
      <w:pPr>
        <w:ind w:left="1740" w:hanging="420"/>
      </w:pPr>
      <w:rPr>
        <w:rFonts w:cs="Times New Roman"/>
      </w:rPr>
    </w:lvl>
    <w:lvl w:ilvl="3" w:tentative="0">
      <w:start w:val="1"/>
      <w:numFmt w:val="chineseCountingThousand"/>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5">
    <w:nsid w:val="1B961097"/>
    <w:multiLevelType w:val="multilevel"/>
    <w:tmpl w:val="1B961097"/>
    <w:lvl w:ilvl="0" w:tentative="0">
      <w:start w:val="1"/>
      <w:numFmt w:val="chineseCountingThousand"/>
      <w:lvlText w:val="(%1)"/>
      <w:lvlJc w:val="left"/>
      <w:pPr>
        <w:tabs>
          <w:tab w:val="left" w:pos="980"/>
        </w:tabs>
        <w:ind w:left="980" w:hanging="420"/>
      </w:pPr>
      <w:rPr>
        <w:rFonts w:hint="eastAsia" w:cs="Times New Roman"/>
      </w:rPr>
    </w:lvl>
    <w:lvl w:ilvl="1" w:tentative="0">
      <w:start w:val="1"/>
      <w:numFmt w:val="lowerLetter"/>
      <w:lvlText w:val="%2)"/>
      <w:lvlJc w:val="left"/>
      <w:pPr>
        <w:tabs>
          <w:tab w:val="left" w:pos="1400"/>
        </w:tabs>
        <w:ind w:left="1400" w:hanging="420"/>
      </w:pPr>
      <w:rPr>
        <w:rFonts w:cs="Times New Roman"/>
      </w:rPr>
    </w:lvl>
    <w:lvl w:ilvl="2" w:tentative="0">
      <w:start w:val="1"/>
      <w:numFmt w:val="lowerRoman"/>
      <w:lvlText w:val="%3."/>
      <w:lvlJc w:val="right"/>
      <w:pPr>
        <w:tabs>
          <w:tab w:val="left" w:pos="1820"/>
        </w:tabs>
        <w:ind w:left="1820" w:hanging="420"/>
      </w:pPr>
      <w:rPr>
        <w:rFonts w:cs="Times New Roman"/>
      </w:rPr>
    </w:lvl>
    <w:lvl w:ilvl="3" w:tentative="0">
      <w:start w:val="1"/>
      <w:numFmt w:val="decimal"/>
      <w:lvlText w:val="%4."/>
      <w:lvlJc w:val="left"/>
      <w:pPr>
        <w:tabs>
          <w:tab w:val="left" w:pos="2240"/>
        </w:tabs>
        <w:ind w:left="2240" w:hanging="420"/>
      </w:pPr>
      <w:rPr>
        <w:rFonts w:cs="Times New Roman"/>
      </w:rPr>
    </w:lvl>
    <w:lvl w:ilvl="4" w:tentative="0">
      <w:start w:val="1"/>
      <w:numFmt w:val="lowerLetter"/>
      <w:lvlText w:val="%5)"/>
      <w:lvlJc w:val="left"/>
      <w:pPr>
        <w:tabs>
          <w:tab w:val="left" w:pos="2660"/>
        </w:tabs>
        <w:ind w:left="2660" w:hanging="420"/>
      </w:pPr>
      <w:rPr>
        <w:rFonts w:cs="Times New Roman"/>
      </w:rPr>
    </w:lvl>
    <w:lvl w:ilvl="5" w:tentative="0">
      <w:start w:val="1"/>
      <w:numFmt w:val="lowerRoman"/>
      <w:lvlText w:val="%6."/>
      <w:lvlJc w:val="right"/>
      <w:pPr>
        <w:tabs>
          <w:tab w:val="left" w:pos="3080"/>
        </w:tabs>
        <w:ind w:left="3080" w:hanging="420"/>
      </w:pPr>
      <w:rPr>
        <w:rFonts w:cs="Times New Roman"/>
      </w:rPr>
    </w:lvl>
    <w:lvl w:ilvl="6" w:tentative="0">
      <w:start w:val="1"/>
      <w:numFmt w:val="decimal"/>
      <w:lvlText w:val="%7."/>
      <w:lvlJc w:val="left"/>
      <w:pPr>
        <w:tabs>
          <w:tab w:val="left" w:pos="3500"/>
        </w:tabs>
        <w:ind w:left="3500" w:hanging="420"/>
      </w:pPr>
      <w:rPr>
        <w:rFonts w:cs="Times New Roman"/>
      </w:rPr>
    </w:lvl>
    <w:lvl w:ilvl="7" w:tentative="0">
      <w:start w:val="1"/>
      <w:numFmt w:val="lowerLetter"/>
      <w:lvlText w:val="%8)"/>
      <w:lvlJc w:val="left"/>
      <w:pPr>
        <w:tabs>
          <w:tab w:val="left" w:pos="3920"/>
        </w:tabs>
        <w:ind w:left="3920" w:hanging="420"/>
      </w:pPr>
      <w:rPr>
        <w:rFonts w:cs="Times New Roman"/>
      </w:rPr>
    </w:lvl>
    <w:lvl w:ilvl="8" w:tentative="0">
      <w:start w:val="1"/>
      <w:numFmt w:val="lowerRoman"/>
      <w:lvlText w:val="%9."/>
      <w:lvlJc w:val="right"/>
      <w:pPr>
        <w:tabs>
          <w:tab w:val="left" w:pos="4340"/>
        </w:tabs>
        <w:ind w:left="4340" w:hanging="420"/>
      </w:pPr>
      <w:rPr>
        <w:rFonts w:cs="Times New Roman"/>
      </w:rPr>
    </w:lvl>
  </w:abstractNum>
  <w:abstractNum w:abstractNumId="6">
    <w:nsid w:val="1BBD5777"/>
    <w:multiLevelType w:val="multilevel"/>
    <w:tmpl w:val="1BBD5777"/>
    <w:lvl w:ilvl="0" w:tentative="0">
      <w:start w:val="1"/>
      <w:numFmt w:val="chineseCountingThousand"/>
      <w:lvlText w:val="(%1)"/>
      <w:lvlJc w:val="left"/>
      <w:pPr>
        <w:ind w:left="895" w:hanging="420"/>
      </w:pPr>
      <w:rPr>
        <w:rFonts w:cs="Times New Roman"/>
      </w:rPr>
    </w:lvl>
    <w:lvl w:ilvl="1" w:tentative="0">
      <w:start w:val="1"/>
      <w:numFmt w:val="lowerLetter"/>
      <w:lvlText w:val="%2)"/>
      <w:lvlJc w:val="left"/>
      <w:pPr>
        <w:ind w:left="1315" w:hanging="420"/>
      </w:pPr>
      <w:rPr>
        <w:rFonts w:cs="Times New Roman"/>
      </w:rPr>
    </w:lvl>
    <w:lvl w:ilvl="2" w:tentative="0">
      <w:start w:val="1"/>
      <w:numFmt w:val="chineseCountingThousand"/>
      <w:lvlText w:val="(%3)"/>
      <w:lvlJc w:val="left"/>
      <w:pPr>
        <w:ind w:left="1735" w:hanging="420"/>
      </w:pPr>
      <w:rPr>
        <w:rFonts w:cs="Times New Roman"/>
      </w:rPr>
    </w:lvl>
    <w:lvl w:ilvl="3" w:tentative="0">
      <w:start w:val="1"/>
      <w:numFmt w:val="decimal"/>
      <w:lvlText w:val="%4."/>
      <w:lvlJc w:val="left"/>
      <w:pPr>
        <w:ind w:left="2155" w:hanging="420"/>
      </w:pPr>
      <w:rPr>
        <w:rFonts w:cs="Times New Roman"/>
      </w:rPr>
    </w:lvl>
    <w:lvl w:ilvl="4" w:tentative="0">
      <w:start w:val="1"/>
      <w:numFmt w:val="lowerLetter"/>
      <w:lvlText w:val="%5)"/>
      <w:lvlJc w:val="left"/>
      <w:pPr>
        <w:ind w:left="2575" w:hanging="420"/>
      </w:pPr>
      <w:rPr>
        <w:rFonts w:cs="Times New Roman"/>
      </w:rPr>
    </w:lvl>
    <w:lvl w:ilvl="5" w:tentative="0">
      <w:start w:val="1"/>
      <w:numFmt w:val="lowerRoman"/>
      <w:lvlText w:val="%6."/>
      <w:lvlJc w:val="right"/>
      <w:pPr>
        <w:ind w:left="2995" w:hanging="420"/>
      </w:pPr>
      <w:rPr>
        <w:rFonts w:cs="Times New Roman"/>
      </w:rPr>
    </w:lvl>
    <w:lvl w:ilvl="6" w:tentative="0">
      <w:start w:val="1"/>
      <w:numFmt w:val="decimal"/>
      <w:lvlText w:val="%7."/>
      <w:lvlJc w:val="left"/>
      <w:pPr>
        <w:ind w:left="3415" w:hanging="420"/>
      </w:pPr>
      <w:rPr>
        <w:rFonts w:cs="Times New Roman"/>
      </w:rPr>
    </w:lvl>
    <w:lvl w:ilvl="7" w:tentative="0">
      <w:start w:val="1"/>
      <w:numFmt w:val="lowerLetter"/>
      <w:lvlText w:val="%8)"/>
      <w:lvlJc w:val="left"/>
      <w:pPr>
        <w:ind w:left="3835" w:hanging="420"/>
      </w:pPr>
      <w:rPr>
        <w:rFonts w:cs="Times New Roman"/>
      </w:rPr>
    </w:lvl>
    <w:lvl w:ilvl="8" w:tentative="0">
      <w:start w:val="1"/>
      <w:numFmt w:val="lowerRoman"/>
      <w:lvlText w:val="%9."/>
      <w:lvlJc w:val="right"/>
      <w:pPr>
        <w:ind w:left="4255" w:hanging="420"/>
      </w:pPr>
      <w:rPr>
        <w:rFonts w:cs="Times New Roman"/>
      </w:rPr>
    </w:lvl>
  </w:abstractNum>
  <w:abstractNum w:abstractNumId="7">
    <w:nsid w:val="1DF917D2"/>
    <w:multiLevelType w:val="multilevel"/>
    <w:tmpl w:val="1DF917D2"/>
    <w:lvl w:ilvl="0" w:tentative="0">
      <w:start w:val="1"/>
      <w:numFmt w:val="japaneseCounting"/>
      <w:lvlText w:val="第%1章"/>
      <w:lvlJc w:val="left"/>
      <w:pPr>
        <w:ind w:left="1367" w:hanging="885"/>
      </w:pPr>
      <w:rPr>
        <w:rFonts w:hint="default" w:cs="Times New Roman"/>
      </w:rPr>
    </w:lvl>
    <w:lvl w:ilvl="1" w:tentative="0">
      <w:start w:val="1"/>
      <w:numFmt w:val="lowerLetter"/>
      <w:lvlText w:val="%2)"/>
      <w:lvlJc w:val="left"/>
      <w:pPr>
        <w:ind w:left="1322" w:hanging="420"/>
      </w:pPr>
      <w:rPr>
        <w:rFonts w:cs="Times New Roman"/>
      </w:rPr>
    </w:lvl>
    <w:lvl w:ilvl="2" w:tentative="0">
      <w:start w:val="1"/>
      <w:numFmt w:val="lowerRoman"/>
      <w:lvlText w:val="%3."/>
      <w:lvlJc w:val="right"/>
      <w:pPr>
        <w:ind w:left="1742" w:hanging="420"/>
      </w:pPr>
      <w:rPr>
        <w:rFonts w:cs="Times New Roman"/>
      </w:rPr>
    </w:lvl>
    <w:lvl w:ilvl="3" w:tentative="0">
      <w:start w:val="1"/>
      <w:numFmt w:val="decimal"/>
      <w:lvlText w:val="%4."/>
      <w:lvlJc w:val="left"/>
      <w:pPr>
        <w:ind w:left="2162" w:hanging="420"/>
      </w:pPr>
      <w:rPr>
        <w:rFonts w:cs="Times New Roman"/>
      </w:rPr>
    </w:lvl>
    <w:lvl w:ilvl="4" w:tentative="0">
      <w:start w:val="1"/>
      <w:numFmt w:val="lowerLetter"/>
      <w:lvlText w:val="%5)"/>
      <w:lvlJc w:val="left"/>
      <w:pPr>
        <w:ind w:left="2582" w:hanging="420"/>
      </w:pPr>
      <w:rPr>
        <w:rFonts w:cs="Times New Roman"/>
      </w:rPr>
    </w:lvl>
    <w:lvl w:ilvl="5" w:tentative="0">
      <w:start w:val="1"/>
      <w:numFmt w:val="lowerRoman"/>
      <w:lvlText w:val="%6."/>
      <w:lvlJc w:val="right"/>
      <w:pPr>
        <w:ind w:left="3002" w:hanging="420"/>
      </w:pPr>
      <w:rPr>
        <w:rFonts w:cs="Times New Roman"/>
      </w:rPr>
    </w:lvl>
    <w:lvl w:ilvl="6" w:tentative="0">
      <w:start w:val="1"/>
      <w:numFmt w:val="decimal"/>
      <w:lvlText w:val="%7."/>
      <w:lvlJc w:val="left"/>
      <w:pPr>
        <w:ind w:left="3422" w:hanging="420"/>
      </w:pPr>
      <w:rPr>
        <w:rFonts w:cs="Times New Roman"/>
      </w:rPr>
    </w:lvl>
    <w:lvl w:ilvl="7" w:tentative="0">
      <w:start w:val="1"/>
      <w:numFmt w:val="lowerLetter"/>
      <w:lvlText w:val="%8)"/>
      <w:lvlJc w:val="left"/>
      <w:pPr>
        <w:ind w:left="3842" w:hanging="420"/>
      </w:pPr>
      <w:rPr>
        <w:rFonts w:cs="Times New Roman"/>
      </w:rPr>
    </w:lvl>
    <w:lvl w:ilvl="8" w:tentative="0">
      <w:start w:val="1"/>
      <w:numFmt w:val="lowerRoman"/>
      <w:lvlText w:val="%9."/>
      <w:lvlJc w:val="right"/>
      <w:pPr>
        <w:ind w:left="4262" w:hanging="420"/>
      </w:pPr>
      <w:rPr>
        <w:rFonts w:cs="Times New Roman"/>
      </w:rPr>
    </w:lvl>
  </w:abstractNum>
  <w:abstractNum w:abstractNumId="8">
    <w:nsid w:val="2375782F"/>
    <w:multiLevelType w:val="multilevel"/>
    <w:tmpl w:val="2375782F"/>
    <w:lvl w:ilvl="0" w:tentative="0">
      <w:start w:val="1"/>
      <w:numFmt w:val="decimal"/>
      <w:lvlText w:val="%1."/>
      <w:lvlJc w:val="left"/>
      <w:pPr>
        <w:ind w:left="2580" w:hanging="420"/>
      </w:pPr>
      <w:rPr>
        <w:rFonts w:cs="Times New Roman"/>
      </w:rPr>
    </w:lvl>
    <w:lvl w:ilvl="1" w:tentative="0">
      <w:start w:val="1"/>
      <w:numFmt w:val="lowerLetter"/>
      <w:lvlText w:val="%2)"/>
      <w:lvlJc w:val="left"/>
      <w:pPr>
        <w:ind w:left="3000" w:hanging="420"/>
      </w:pPr>
      <w:rPr>
        <w:rFonts w:cs="Times New Roman"/>
      </w:rPr>
    </w:lvl>
    <w:lvl w:ilvl="2" w:tentative="0">
      <w:start w:val="1"/>
      <w:numFmt w:val="lowerRoman"/>
      <w:lvlText w:val="%3."/>
      <w:lvlJc w:val="right"/>
      <w:pPr>
        <w:ind w:left="3420" w:hanging="420"/>
      </w:pPr>
      <w:rPr>
        <w:rFonts w:cs="Times New Roman"/>
      </w:rPr>
    </w:lvl>
    <w:lvl w:ilvl="3" w:tentative="0">
      <w:start w:val="1"/>
      <w:numFmt w:val="decimal"/>
      <w:lvlText w:val="%4."/>
      <w:lvlJc w:val="left"/>
      <w:pPr>
        <w:ind w:left="3840" w:hanging="420"/>
      </w:pPr>
      <w:rPr>
        <w:rFonts w:cs="Times New Roman"/>
      </w:rPr>
    </w:lvl>
    <w:lvl w:ilvl="4" w:tentative="0">
      <w:start w:val="1"/>
      <w:numFmt w:val="lowerLetter"/>
      <w:lvlText w:val="%5)"/>
      <w:lvlJc w:val="left"/>
      <w:pPr>
        <w:ind w:left="4260" w:hanging="420"/>
      </w:pPr>
      <w:rPr>
        <w:rFonts w:cs="Times New Roman"/>
      </w:rPr>
    </w:lvl>
    <w:lvl w:ilvl="5" w:tentative="0">
      <w:start w:val="1"/>
      <w:numFmt w:val="lowerRoman"/>
      <w:lvlText w:val="%6."/>
      <w:lvlJc w:val="right"/>
      <w:pPr>
        <w:ind w:left="4680" w:hanging="420"/>
      </w:pPr>
      <w:rPr>
        <w:rFonts w:cs="Times New Roman"/>
      </w:rPr>
    </w:lvl>
    <w:lvl w:ilvl="6" w:tentative="0">
      <w:start w:val="1"/>
      <w:numFmt w:val="decimal"/>
      <w:lvlText w:val="%7."/>
      <w:lvlJc w:val="left"/>
      <w:pPr>
        <w:ind w:left="5100" w:hanging="420"/>
      </w:pPr>
      <w:rPr>
        <w:rFonts w:cs="Times New Roman"/>
      </w:rPr>
    </w:lvl>
    <w:lvl w:ilvl="7" w:tentative="0">
      <w:start w:val="1"/>
      <w:numFmt w:val="lowerLetter"/>
      <w:lvlText w:val="%8)"/>
      <w:lvlJc w:val="left"/>
      <w:pPr>
        <w:ind w:left="5520" w:hanging="420"/>
      </w:pPr>
      <w:rPr>
        <w:rFonts w:cs="Times New Roman"/>
      </w:rPr>
    </w:lvl>
    <w:lvl w:ilvl="8" w:tentative="0">
      <w:start w:val="1"/>
      <w:numFmt w:val="lowerRoman"/>
      <w:lvlText w:val="%9."/>
      <w:lvlJc w:val="right"/>
      <w:pPr>
        <w:ind w:left="5940" w:hanging="420"/>
      </w:pPr>
      <w:rPr>
        <w:rFonts w:cs="Times New Roman"/>
      </w:rPr>
    </w:lvl>
  </w:abstractNum>
  <w:abstractNum w:abstractNumId="9">
    <w:nsid w:val="26177384"/>
    <w:multiLevelType w:val="multilevel"/>
    <w:tmpl w:val="26177384"/>
    <w:lvl w:ilvl="0" w:tentative="0">
      <w:start w:val="1"/>
      <w:numFmt w:val="chineseCountingThousand"/>
      <w:lvlText w:val="(%1)"/>
      <w:lvlJc w:val="left"/>
      <w:pPr>
        <w:tabs>
          <w:tab w:val="left" w:pos="980"/>
        </w:tabs>
        <w:ind w:left="980" w:hanging="420"/>
      </w:pPr>
      <w:rPr>
        <w:rFonts w:cs="Times New Roman"/>
      </w:rPr>
    </w:lvl>
    <w:lvl w:ilvl="1" w:tentative="0">
      <w:start w:val="1"/>
      <w:numFmt w:val="lowerLetter"/>
      <w:lvlText w:val="%2)"/>
      <w:lvlJc w:val="left"/>
      <w:pPr>
        <w:tabs>
          <w:tab w:val="left" w:pos="1400"/>
        </w:tabs>
        <w:ind w:left="1400" w:hanging="420"/>
      </w:pPr>
      <w:rPr>
        <w:rFonts w:cs="Times New Roman"/>
      </w:rPr>
    </w:lvl>
    <w:lvl w:ilvl="2" w:tentative="0">
      <w:start w:val="1"/>
      <w:numFmt w:val="lowerRoman"/>
      <w:lvlText w:val="%3."/>
      <w:lvlJc w:val="right"/>
      <w:pPr>
        <w:tabs>
          <w:tab w:val="left" w:pos="1820"/>
        </w:tabs>
        <w:ind w:left="1820" w:hanging="420"/>
      </w:pPr>
      <w:rPr>
        <w:rFonts w:cs="Times New Roman"/>
      </w:rPr>
    </w:lvl>
    <w:lvl w:ilvl="3" w:tentative="0">
      <w:start w:val="1"/>
      <w:numFmt w:val="decimal"/>
      <w:lvlText w:val="%4."/>
      <w:lvlJc w:val="left"/>
      <w:pPr>
        <w:tabs>
          <w:tab w:val="left" w:pos="2240"/>
        </w:tabs>
        <w:ind w:left="2240" w:hanging="420"/>
      </w:pPr>
      <w:rPr>
        <w:rFonts w:cs="Times New Roman"/>
      </w:rPr>
    </w:lvl>
    <w:lvl w:ilvl="4" w:tentative="0">
      <w:start w:val="1"/>
      <w:numFmt w:val="lowerLetter"/>
      <w:lvlText w:val="%5)"/>
      <w:lvlJc w:val="left"/>
      <w:pPr>
        <w:tabs>
          <w:tab w:val="left" w:pos="2660"/>
        </w:tabs>
        <w:ind w:left="2660" w:hanging="420"/>
      </w:pPr>
      <w:rPr>
        <w:rFonts w:cs="Times New Roman"/>
      </w:rPr>
    </w:lvl>
    <w:lvl w:ilvl="5" w:tentative="0">
      <w:start w:val="1"/>
      <w:numFmt w:val="lowerRoman"/>
      <w:lvlText w:val="%6."/>
      <w:lvlJc w:val="right"/>
      <w:pPr>
        <w:tabs>
          <w:tab w:val="left" w:pos="3080"/>
        </w:tabs>
        <w:ind w:left="3080" w:hanging="420"/>
      </w:pPr>
      <w:rPr>
        <w:rFonts w:cs="Times New Roman"/>
      </w:rPr>
    </w:lvl>
    <w:lvl w:ilvl="6" w:tentative="0">
      <w:start w:val="1"/>
      <w:numFmt w:val="decimal"/>
      <w:lvlText w:val="%7."/>
      <w:lvlJc w:val="left"/>
      <w:pPr>
        <w:tabs>
          <w:tab w:val="left" w:pos="3500"/>
        </w:tabs>
        <w:ind w:left="3500" w:hanging="420"/>
      </w:pPr>
      <w:rPr>
        <w:rFonts w:cs="Times New Roman"/>
      </w:rPr>
    </w:lvl>
    <w:lvl w:ilvl="7" w:tentative="0">
      <w:start w:val="1"/>
      <w:numFmt w:val="lowerLetter"/>
      <w:lvlText w:val="%8)"/>
      <w:lvlJc w:val="left"/>
      <w:pPr>
        <w:tabs>
          <w:tab w:val="left" w:pos="3920"/>
        </w:tabs>
        <w:ind w:left="3920" w:hanging="420"/>
      </w:pPr>
      <w:rPr>
        <w:rFonts w:cs="Times New Roman"/>
      </w:rPr>
    </w:lvl>
    <w:lvl w:ilvl="8" w:tentative="0">
      <w:start w:val="1"/>
      <w:numFmt w:val="lowerRoman"/>
      <w:lvlText w:val="%9."/>
      <w:lvlJc w:val="right"/>
      <w:pPr>
        <w:tabs>
          <w:tab w:val="left" w:pos="4340"/>
        </w:tabs>
        <w:ind w:left="4340" w:hanging="420"/>
      </w:pPr>
      <w:rPr>
        <w:rFonts w:cs="Times New Roman"/>
      </w:rPr>
    </w:lvl>
  </w:abstractNum>
  <w:abstractNum w:abstractNumId="10">
    <w:nsid w:val="280B6B45"/>
    <w:multiLevelType w:val="multilevel"/>
    <w:tmpl w:val="280B6B45"/>
    <w:lvl w:ilvl="0" w:tentative="0">
      <w:start w:val="1"/>
      <w:numFmt w:val="decimal"/>
      <w:lvlText w:val="（%1）"/>
      <w:lvlJc w:val="left"/>
      <w:pPr>
        <w:ind w:left="13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decimal"/>
      <w:lvlText w:val="（%5）"/>
      <w:lvlJc w:val="left"/>
      <w:pPr>
        <w:ind w:left="2100" w:hanging="420"/>
      </w:pPr>
      <w:rPr>
        <w:rFonts w:hint="eastAsia"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1">
    <w:nsid w:val="357A4695"/>
    <w:multiLevelType w:val="multilevel"/>
    <w:tmpl w:val="357A4695"/>
    <w:lvl w:ilvl="0" w:tentative="0">
      <w:start w:val="1"/>
      <w:numFmt w:val="decimal"/>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2">
    <w:nsid w:val="36A522D5"/>
    <w:multiLevelType w:val="multilevel"/>
    <w:tmpl w:val="36A522D5"/>
    <w:lvl w:ilvl="0" w:tentative="0">
      <w:start w:val="1"/>
      <w:numFmt w:val="chineseCountingThousand"/>
      <w:lvlText w:val="%1、"/>
      <w:lvlJc w:val="left"/>
      <w:pPr>
        <w:ind w:left="1065" w:hanging="420"/>
      </w:pPr>
      <w:rPr>
        <w:rFonts w:cs="Times New Roman"/>
      </w:rPr>
    </w:lvl>
    <w:lvl w:ilvl="1" w:tentative="0">
      <w:start w:val="1"/>
      <w:numFmt w:val="lowerLetter"/>
      <w:lvlText w:val="%2)"/>
      <w:lvlJc w:val="left"/>
      <w:pPr>
        <w:ind w:left="1485" w:hanging="420"/>
      </w:pPr>
      <w:rPr>
        <w:rFonts w:cs="Times New Roman"/>
      </w:rPr>
    </w:lvl>
    <w:lvl w:ilvl="2" w:tentative="0">
      <w:start w:val="1"/>
      <w:numFmt w:val="lowerRoman"/>
      <w:lvlText w:val="%3."/>
      <w:lvlJc w:val="right"/>
      <w:pPr>
        <w:ind w:left="1905" w:hanging="420"/>
      </w:pPr>
      <w:rPr>
        <w:rFonts w:cs="Times New Roman"/>
      </w:rPr>
    </w:lvl>
    <w:lvl w:ilvl="3" w:tentative="0">
      <w:start w:val="1"/>
      <w:numFmt w:val="decimal"/>
      <w:lvlText w:val="%4."/>
      <w:lvlJc w:val="left"/>
      <w:pPr>
        <w:ind w:left="2325" w:hanging="420"/>
      </w:pPr>
      <w:rPr>
        <w:rFonts w:cs="Times New Roman"/>
      </w:rPr>
    </w:lvl>
    <w:lvl w:ilvl="4" w:tentative="0">
      <w:start w:val="1"/>
      <w:numFmt w:val="lowerLetter"/>
      <w:lvlText w:val="%5)"/>
      <w:lvlJc w:val="left"/>
      <w:pPr>
        <w:ind w:left="2745" w:hanging="420"/>
      </w:pPr>
      <w:rPr>
        <w:rFonts w:cs="Times New Roman"/>
      </w:rPr>
    </w:lvl>
    <w:lvl w:ilvl="5" w:tentative="0">
      <w:start w:val="1"/>
      <w:numFmt w:val="lowerRoman"/>
      <w:lvlText w:val="%6."/>
      <w:lvlJc w:val="right"/>
      <w:pPr>
        <w:ind w:left="3165" w:hanging="420"/>
      </w:pPr>
      <w:rPr>
        <w:rFonts w:cs="Times New Roman"/>
      </w:rPr>
    </w:lvl>
    <w:lvl w:ilvl="6" w:tentative="0">
      <w:start w:val="1"/>
      <w:numFmt w:val="decimal"/>
      <w:lvlText w:val="%7."/>
      <w:lvlJc w:val="left"/>
      <w:pPr>
        <w:ind w:left="3585" w:hanging="420"/>
      </w:pPr>
      <w:rPr>
        <w:rFonts w:cs="Times New Roman"/>
      </w:rPr>
    </w:lvl>
    <w:lvl w:ilvl="7" w:tentative="0">
      <w:start w:val="1"/>
      <w:numFmt w:val="lowerLetter"/>
      <w:lvlText w:val="%8)"/>
      <w:lvlJc w:val="left"/>
      <w:pPr>
        <w:ind w:left="4005" w:hanging="420"/>
      </w:pPr>
      <w:rPr>
        <w:rFonts w:cs="Times New Roman"/>
      </w:rPr>
    </w:lvl>
    <w:lvl w:ilvl="8" w:tentative="0">
      <w:start w:val="1"/>
      <w:numFmt w:val="lowerRoman"/>
      <w:lvlText w:val="%9."/>
      <w:lvlJc w:val="right"/>
      <w:pPr>
        <w:ind w:left="4425" w:hanging="420"/>
      </w:pPr>
      <w:rPr>
        <w:rFonts w:cs="Times New Roman"/>
      </w:rPr>
    </w:lvl>
  </w:abstractNum>
  <w:abstractNum w:abstractNumId="13">
    <w:nsid w:val="36C30BE7"/>
    <w:multiLevelType w:val="multilevel"/>
    <w:tmpl w:val="36C30BE7"/>
    <w:lvl w:ilvl="0" w:tentative="0">
      <w:start w:val="1"/>
      <w:numFmt w:val="chineseCountingThousand"/>
      <w:lvlText w:val="(%1)"/>
      <w:lvlJc w:val="left"/>
      <w:pPr>
        <w:ind w:left="900" w:hanging="420"/>
      </w:pPr>
      <w:rPr>
        <w:rFonts w:cs="Times New Roman"/>
      </w:rPr>
    </w:lvl>
    <w:lvl w:ilvl="1" w:tentative="0">
      <w:start w:val="2"/>
      <w:numFmt w:val="japaneseCounting"/>
      <w:lvlText w:val="（%2）"/>
      <w:lvlJc w:val="left"/>
      <w:pPr>
        <w:ind w:left="1620" w:hanging="720"/>
      </w:pPr>
      <w:rPr>
        <w:rFonts w:hint="default" w:cs="Times New Roman"/>
      </w:rPr>
    </w:lvl>
    <w:lvl w:ilvl="2" w:tentative="0">
      <w:start w:val="1"/>
      <w:numFmt w:val="lowerRoman"/>
      <w:lvlText w:val="%3."/>
      <w:lvlJc w:val="right"/>
      <w:pPr>
        <w:ind w:left="1740" w:hanging="420"/>
      </w:pPr>
      <w:rPr>
        <w:rFonts w:cs="Times New Roman"/>
      </w:rPr>
    </w:lvl>
    <w:lvl w:ilvl="3" w:tentative="0">
      <w:start w:val="1"/>
      <w:numFmt w:val="chineseCountingThousand"/>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4">
    <w:nsid w:val="3C3034FD"/>
    <w:multiLevelType w:val="multilevel"/>
    <w:tmpl w:val="3C3034FD"/>
    <w:lvl w:ilvl="0" w:tentative="0">
      <w:start w:val="1"/>
      <w:numFmt w:val="decimal"/>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5">
    <w:nsid w:val="4A515CE3"/>
    <w:multiLevelType w:val="multilevel"/>
    <w:tmpl w:val="4A515CE3"/>
    <w:lvl w:ilvl="0" w:tentative="0">
      <w:start w:val="1"/>
      <w:numFmt w:val="decimal"/>
      <w:lvlText w:val="%1."/>
      <w:lvlJc w:val="left"/>
      <w:pPr>
        <w:ind w:left="900" w:hanging="420"/>
      </w:pPr>
      <w:rPr>
        <w:rFonts w:cs="Times New Roman"/>
      </w:rPr>
    </w:lvl>
    <w:lvl w:ilvl="1" w:tentative="0">
      <w:start w:val="1"/>
      <w:numFmt w:val="decimal"/>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6">
    <w:nsid w:val="4C2E3E72"/>
    <w:multiLevelType w:val="multilevel"/>
    <w:tmpl w:val="4C2E3E72"/>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4D200658"/>
    <w:multiLevelType w:val="multilevel"/>
    <w:tmpl w:val="4D200658"/>
    <w:lvl w:ilvl="0" w:tentative="0">
      <w:start w:val="1"/>
      <w:numFmt w:val="chineseCountingThousand"/>
      <w:lvlText w:val="(%1)"/>
      <w:lvlJc w:val="left"/>
      <w:pPr>
        <w:tabs>
          <w:tab w:val="left" w:pos="980"/>
        </w:tabs>
        <w:ind w:left="980" w:hanging="420"/>
      </w:pPr>
      <w:rPr>
        <w:rFonts w:cs="Times New Roman"/>
      </w:rPr>
    </w:lvl>
    <w:lvl w:ilvl="1" w:tentative="0">
      <w:start w:val="1"/>
      <w:numFmt w:val="decimal"/>
      <w:lvlText w:val="%2."/>
      <w:lvlJc w:val="left"/>
      <w:pPr>
        <w:tabs>
          <w:tab w:val="left" w:pos="1400"/>
        </w:tabs>
        <w:ind w:left="1400" w:hanging="420"/>
      </w:pPr>
      <w:rPr>
        <w:rFonts w:cs="Times New Roman"/>
      </w:rPr>
    </w:lvl>
    <w:lvl w:ilvl="2" w:tentative="0">
      <w:start w:val="1"/>
      <w:numFmt w:val="lowerRoman"/>
      <w:lvlText w:val="%3."/>
      <w:lvlJc w:val="right"/>
      <w:pPr>
        <w:tabs>
          <w:tab w:val="left" w:pos="1820"/>
        </w:tabs>
        <w:ind w:left="1820" w:hanging="420"/>
      </w:pPr>
      <w:rPr>
        <w:rFonts w:cs="Times New Roman"/>
      </w:rPr>
    </w:lvl>
    <w:lvl w:ilvl="3" w:tentative="0">
      <w:start w:val="1"/>
      <w:numFmt w:val="decimal"/>
      <w:lvlText w:val="%4."/>
      <w:lvlJc w:val="left"/>
      <w:pPr>
        <w:tabs>
          <w:tab w:val="left" w:pos="2240"/>
        </w:tabs>
        <w:ind w:left="2240" w:hanging="420"/>
      </w:pPr>
      <w:rPr>
        <w:rFonts w:cs="Times New Roman"/>
      </w:rPr>
    </w:lvl>
    <w:lvl w:ilvl="4" w:tentative="0">
      <w:start w:val="1"/>
      <w:numFmt w:val="lowerLetter"/>
      <w:lvlText w:val="%5)"/>
      <w:lvlJc w:val="left"/>
      <w:pPr>
        <w:tabs>
          <w:tab w:val="left" w:pos="2660"/>
        </w:tabs>
        <w:ind w:left="2660" w:hanging="420"/>
      </w:pPr>
      <w:rPr>
        <w:rFonts w:cs="Times New Roman"/>
      </w:rPr>
    </w:lvl>
    <w:lvl w:ilvl="5" w:tentative="0">
      <w:start w:val="1"/>
      <w:numFmt w:val="lowerRoman"/>
      <w:lvlText w:val="%6."/>
      <w:lvlJc w:val="right"/>
      <w:pPr>
        <w:tabs>
          <w:tab w:val="left" w:pos="3080"/>
        </w:tabs>
        <w:ind w:left="3080" w:hanging="420"/>
      </w:pPr>
      <w:rPr>
        <w:rFonts w:cs="Times New Roman"/>
      </w:rPr>
    </w:lvl>
    <w:lvl w:ilvl="6" w:tentative="0">
      <w:start w:val="1"/>
      <w:numFmt w:val="decimal"/>
      <w:lvlText w:val="%7."/>
      <w:lvlJc w:val="left"/>
      <w:pPr>
        <w:tabs>
          <w:tab w:val="left" w:pos="3500"/>
        </w:tabs>
        <w:ind w:left="3500" w:hanging="420"/>
      </w:pPr>
      <w:rPr>
        <w:rFonts w:cs="Times New Roman"/>
      </w:rPr>
    </w:lvl>
    <w:lvl w:ilvl="7" w:tentative="0">
      <w:start w:val="1"/>
      <w:numFmt w:val="lowerLetter"/>
      <w:lvlText w:val="%8)"/>
      <w:lvlJc w:val="left"/>
      <w:pPr>
        <w:tabs>
          <w:tab w:val="left" w:pos="3920"/>
        </w:tabs>
        <w:ind w:left="3920" w:hanging="420"/>
      </w:pPr>
      <w:rPr>
        <w:rFonts w:cs="Times New Roman"/>
      </w:rPr>
    </w:lvl>
    <w:lvl w:ilvl="8" w:tentative="0">
      <w:start w:val="1"/>
      <w:numFmt w:val="lowerRoman"/>
      <w:lvlText w:val="%9."/>
      <w:lvlJc w:val="right"/>
      <w:pPr>
        <w:tabs>
          <w:tab w:val="left" w:pos="4340"/>
        </w:tabs>
        <w:ind w:left="4340" w:hanging="420"/>
      </w:pPr>
      <w:rPr>
        <w:rFonts w:cs="Times New Roman"/>
      </w:rPr>
    </w:lvl>
  </w:abstractNum>
  <w:abstractNum w:abstractNumId="18">
    <w:nsid w:val="4F6D520E"/>
    <w:multiLevelType w:val="multilevel"/>
    <w:tmpl w:val="4F6D520E"/>
    <w:lvl w:ilvl="0" w:tentative="0">
      <w:start w:val="1"/>
      <w:numFmt w:val="chineseCountingThousand"/>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9">
    <w:nsid w:val="523E5BE3"/>
    <w:multiLevelType w:val="multilevel"/>
    <w:tmpl w:val="523E5BE3"/>
    <w:lvl w:ilvl="0" w:tentative="0">
      <w:start w:val="1"/>
      <w:numFmt w:val="decimal"/>
      <w:lvlText w:val="%1."/>
      <w:lvlJc w:val="left"/>
      <w:pPr>
        <w:ind w:left="900" w:hanging="420"/>
      </w:pPr>
      <w:rPr>
        <w:rFonts w:cs="Times New Roman"/>
      </w:rPr>
    </w:lvl>
    <w:lvl w:ilvl="1" w:tentative="0">
      <w:start w:val="1"/>
      <w:numFmt w:val="decimal"/>
      <w:lvlText w:val="%2."/>
      <w:lvlJc w:val="left"/>
      <w:pPr>
        <w:ind w:left="1320" w:hanging="420"/>
      </w:pPr>
      <w:rPr>
        <w:rFonts w:cs="Times New Roman"/>
      </w:rPr>
    </w:lvl>
    <w:lvl w:ilvl="2" w:tentative="0">
      <w:start w:val="1"/>
      <w:numFmt w:val="japaneseCounting"/>
      <w:lvlText w:val="第%3条"/>
      <w:lvlJc w:val="left"/>
      <w:pPr>
        <w:ind w:left="2295" w:hanging="975"/>
      </w:pPr>
      <w:rPr>
        <w:rFonts w:hint="default" w:cs="Times New Roman"/>
        <w:b/>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20">
    <w:nsid w:val="556558B5"/>
    <w:multiLevelType w:val="multilevel"/>
    <w:tmpl w:val="556558B5"/>
    <w:lvl w:ilvl="0" w:tentative="0">
      <w:start w:val="1"/>
      <w:numFmt w:val="decimal"/>
      <w:lvlText w:val="%1."/>
      <w:lvlJc w:val="left"/>
      <w:pPr>
        <w:ind w:left="420" w:hanging="420"/>
      </w:pPr>
      <w:rPr>
        <w:rFonts w:hint="eastAsia" w:cs="Times New Roman"/>
      </w:rPr>
    </w:lvl>
    <w:lvl w:ilvl="1" w:tentative="0">
      <w:start w:val="1"/>
      <w:numFmt w:val="none"/>
      <w:lvlText w:val="一、"/>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21">
    <w:nsid w:val="557531A9"/>
    <w:multiLevelType w:val="multilevel"/>
    <w:tmpl w:val="557531A9"/>
    <w:lvl w:ilvl="0" w:tentative="0">
      <w:start w:val="1"/>
      <w:numFmt w:val="chineseCountingThousand"/>
      <w:lvlText w:val="%1、"/>
      <w:lvlJc w:val="left"/>
      <w:pPr>
        <w:ind w:left="1742" w:hanging="420"/>
      </w:pPr>
      <w:rPr>
        <w:rFonts w:cs="Times New Roman"/>
      </w:rPr>
    </w:lvl>
    <w:lvl w:ilvl="1" w:tentative="0">
      <w:start w:val="1"/>
      <w:numFmt w:val="lowerLetter"/>
      <w:lvlText w:val="%2)"/>
      <w:lvlJc w:val="left"/>
      <w:pPr>
        <w:ind w:left="2162" w:hanging="420"/>
      </w:pPr>
      <w:rPr>
        <w:rFonts w:cs="Times New Roman"/>
      </w:rPr>
    </w:lvl>
    <w:lvl w:ilvl="2" w:tentative="0">
      <w:start w:val="1"/>
      <w:numFmt w:val="lowerRoman"/>
      <w:lvlText w:val="%3."/>
      <w:lvlJc w:val="right"/>
      <w:pPr>
        <w:ind w:left="2582" w:hanging="420"/>
      </w:pPr>
      <w:rPr>
        <w:rFonts w:cs="Times New Roman"/>
      </w:rPr>
    </w:lvl>
    <w:lvl w:ilvl="3" w:tentative="0">
      <w:start w:val="1"/>
      <w:numFmt w:val="decimal"/>
      <w:lvlText w:val="%4."/>
      <w:lvlJc w:val="left"/>
      <w:pPr>
        <w:ind w:left="3002" w:hanging="420"/>
      </w:pPr>
      <w:rPr>
        <w:rFonts w:cs="Times New Roman"/>
      </w:rPr>
    </w:lvl>
    <w:lvl w:ilvl="4" w:tentative="0">
      <w:start w:val="1"/>
      <w:numFmt w:val="lowerLetter"/>
      <w:lvlText w:val="%5)"/>
      <w:lvlJc w:val="left"/>
      <w:pPr>
        <w:ind w:left="3422" w:hanging="420"/>
      </w:pPr>
      <w:rPr>
        <w:rFonts w:cs="Times New Roman"/>
      </w:rPr>
    </w:lvl>
    <w:lvl w:ilvl="5" w:tentative="0">
      <w:start w:val="1"/>
      <w:numFmt w:val="lowerRoman"/>
      <w:lvlText w:val="%6."/>
      <w:lvlJc w:val="right"/>
      <w:pPr>
        <w:ind w:left="3842" w:hanging="420"/>
      </w:pPr>
      <w:rPr>
        <w:rFonts w:cs="Times New Roman"/>
      </w:rPr>
    </w:lvl>
    <w:lvl w:ilvl="6" w:tentative="0">
      <w:start w:val="1"/>
      <w:numFmt w:val="decimal"/>
      <w:lvlText w:val="%7."/>
      <w:lvlJc w:val="left"/>
      <w:pPr>
        <w:ind w:left="4262" w:hanging="420"/>
      </w:pPr>
      <w:rPr>
        <w:rFonts w:cs="Times New Roman"/>
      </w:rPr>
    </w:lvl>
    <w:lvl w:ilvl="7" w:tentative="0">
      <w:start w:val="1"/>
      <w:numFmt w:val="lowerLetter"/>
      <w:lvlText w:val="%8)"/>
      <w:lvlJc w:val="left"/>
      <w:pPr>
        <w:ind w:left="4682" w:hanging="420"/>
      </w:pPr>
      <w:rPr>
        <w:rFonts w:cs="Times New Roman"/>
      </w:rPr>
    </w:lvl>
    <w:lvl w:ilvl="8" w:tentative="0">
      <w:start w:val="1"/>
      <w:numFmt w:val="lowerRoman"/>
      <w:lvlText w:val="%9."/>
      <w:lvlJc w:val="right"/>
      <w:pPr>
        <w:ind w:left="5102" w:hanging="420"/>
      </w:pPr>
      <w:rPr>
        <w:rFonts w:cs="Times New Roman"/>
      </w:rPr>
    </w:lvl>
  </w:abstractNum>
  <w:abstractNum w:abstractNumId="22">
    <w:nsid w:val="5E007B12"/>
    <w:multiLevelType w:val="multilevel"/>
    <w:tmpl w:val="5E007B12"/>
    <w:lvl w:ilvl="0" w:tentative="0">
      <w:start w:val="1"/>
      <w:numFmt w:val="decimal"/>
      <w:lvlText w:val="%1."/>
      <w:lvlJc w:val="left"/>
      <w:pPr>
        <w:ind w:left="900" w:hanging="420"/>
      </w:pPr>
      <w:rPr>
        <w:rFonts w:cs="Times New Roman"/>
      </w:rPr>
    </w:lvl>
    <w:lvl w:ilvl="1" w:tentative="0">
      <w:start w:val="1"/>
      <w:numFmt w:val="decimalFullWidth"/>
      <w:lvlText w:val="%2．"/>
      <w:lvlJc w:val="left"/>
      <w:pPr>
        <w:ind w:left="1980" w:hanging="1080"/>
      </w:pPr>
      <w:rPr>
        <w:rFonts w:hint="default" w:cs="Times New Roman"/>
      </w:rPr>
    </w:lvl>
    <w:lvl w:ilvl="2" w:tentative="0">
      <w:start w:val="1"/>
      <w:numFmt w:val="decimalFullWidth"/>
      <w:lvlText w:val="%3."/>
      <w:lvlJc w:val="left"/>
      <w:pPr>
        <w:ind w:left="2160" w:hanging="840"/>
      </w:pPr>
      <w:rPr>
        <w:rFonts w:hint="default" w:cs="Times New Roman"/>
      </w:rPr>
    </w:lvl>
    <w:lvl w:ilvl="3" w:tentative="0">
      <w:start w:val="1"/>
      <w:numFmt w:val="chineseCountingThousand"/>
      <w:lvlText w:val="(%4)"/>
      <w:lvlJc w:val="left"/>
      <w:pPr>
        <w:ind w:left="2160" w:hanging="420"/>
      </w:pPr>
      <w:rPr>
        <w:rFonts w:cs="Times New Roman"/>
      </w:rPr>
    </w:lvl>
    <w:lvl w:ilvl="4" w:tentative="0">
      <w:start w:val="1"/>
      <w:numFmt w:val="decimalFullWidth"/>
      <w:lvlText w:val="（%5）"/>
      <w:lvlJc w:val="left"/>
      <w:pPr>
        <w:ind w:left="3330" w:hanging="1170"/>
      </w:pPr>
      <w:rPr>
        <w:rFonts w:hint="default" w:cs="Times New Roman"/>
      </w:rPr>
    </w:lvl>
    <w:lvl w:ilvl="5" w:tentative="0">
      <w:start w:val="1"/>
      <w:numFmt w:val="decimal"/>
      <w:lvlText w:val="(%6)"/>
      <w:lvlJc w:val="left"/>
      <w:pPr>
        <w:ind w:left="2940" w:hanging="360"/>
      </w:pPr>
      <w:rPr>
        <w:rFonts w:hint="default" w:cs="Times New Roman"/>
      </w:rPr>
    </w:lvl>
    <w:lvl w:ilvl="6" w:tentative="0">
      <w:start w:val="1"/>
      <w:numFmt w:val="decimal"/>
      <w:lvlText w:val="%7，"/>
      <w:lvlJc w:val="left"/>
      <w:pPr>
        <w:ind w:left="3840" w:hanging="840"/>
      </w:pPr>
      <w:rPr>
        <w:rFonts w:hint="default" w:cs="Times New Roman"/>
      </w:rPr>
    </w:lvl>
    <w:lvl w:ilvl="7" w:tentative="0">
      <w:start w:val="1"/>
      <w:numFmt w:val="japaneseCounting"/>
      <w:lvlText w:val="（%8）"/>
      <w:lvlJc w:val="left"/>
      <w:pPr>
        <w:ind w:left="4590" w:hanging="1170"/>
      </w:pPr>
      <w:rPr>
        <w:rFonts w:hint="default" w:cs="Times New Roman"/>
      </w:rPr>
    </w:lvl>
    <w:lvl w:ilvl="8" w:tentative="0">
      <w:start w:val="4"/>
      <w:numFmt w:val="japaneseCounting"/>
      <w:lvlText w:val="%9、"/>
      <w:lvlJc w:val="left"/>
      <w:pPr>
        <w:ind w:left="4320" w:hanging="480"/>
      </w:pPr>
      <w:rPr>
        <w:rFonts w:hint="default" w:cs="Times New Roman"/>
      </w:rPr>
    </w:lvl>
  </w:abstractNum>
  <w:abstractNum w:abstractNumId="23">
    <w:nsid w:val="5E565F05"/>
    <w:multiLevelType w:val="multilevel"/>
    <w:tmpl w:val="5E565F05"/>
    <w:lvl w:ilvl="0" w:tentative="0">
      <w:start w:val="1"/>
      <w:numFmt w:val="chineseCountingThousand"/>
      <w:lvlText w:val="(%1)"/>
      <w:lvlJc w:val="left"/>
      <w:pPr>
        <w:ind w:left="924" w:hanging="420"/>
      </w:pPr>
      <w:rPr>
        <w:rFonts w:cs="Times New Roman"/>
      </w:rPr>
    </w:lvl>
    <w:lvl w:ilvl="1" w:tentative="0">
      <w:start w:val="1"/>
      <w:numFmt w:val="lowerLetter"/>
      <w:lvlText w:val="%2)"/>
      <w:lvlJc w:val="left"/>
      <w:pPr>
        <w:ind w:left="1344" w:hanging="420"/>
      </w:pPr>
      <w:rPr>
        <w:rFonts w:cs="Times New Roman"/>
      </w:rPr>
    </w:lvl>
    <w:lvl w:ilvl="2" w:tentative="0">
      <w:start w:val="1"/>
      <w:numFmt w:val="chineseCountingThousand"/>
      <w:lvlText w:val="(%3)"/>
      <w:lvlJc w:val="left"/>
      <w:pPr>
        <w:ind w:left="1764" w:hanging="420"/>
      </w:pPr>
      <w:rPr>
        <w:rFonts w:cs="Times New Roman"/>
      </w:rPr>
    </w:lvl>
    <w:lvl w:ilvl="3" w:tentative="0">
      <w:start w:val="1"/>
      <w:numFmt w:val="decimal"/>
      <w:lvlText w:val="%4."/>
      <w:lvlJc w:val="left"/>
      <w:pPr>
        <w:ind w:left="2184" w:hanging="420"/>
      </w:pPr>
      <w:rPr>
        <w:rFonts w:cs="Times New Roman"/>
      </w:rPr>
    </w:lvl>
    <w:lvl w:ilvl="4" w:tentative="0">
      <w:start w:val="1"/>
      <w:numFmt w:val="lowerLetter"/>
      <w:lvlText w:val="%5)"/>
      <w:lvlJc w:val="left"/>
      <w:pPr>
        <w:ind w:left="2604" w:hanging="420"/>
      </w:pPr>
      <w:rPr>
        <w:rFonts w:cs="Times New Roman"/>
      </w:rPr>
    </w:lvl>
    <w:lvl w:ilvl="5" w:tentative="0">
      <w:start w:val="1"/>
      <w:numFmt w:val="lowerRoman"/>
      <w:lvlText w:val="%6."/>
      <w:lvlJc w:val="right"/>
      <w:pPr>
        <w:ind w:left="3024" w:hanging="420"/>
      </w:pPr>
      <w:rPr>
        <w:rFonts w:cs="Times New Roman"/>
      </w:rPr>
    </w:lvl>
    <w:lvl w:ilvl="6" w:tentative="0">
      <w:start w:val="1"/>
      <w:numFmt w:val="decimal"/>
      <w:lvlText w:val="%7."/>
      <w:lvlJc w:val="left"/>
      <w:pPr>
        <w:ind w:left="3444" w:hanging="420"/>
      </w:pPr>
      <w:rPr>
        <w:rFonts w:cs="Times New Roman"/>
      </w:rPr>
    </w:lvl>
    <w:lvl w:ilvl="7" w:tentative="0">
      <w:start w:val="1"/>
      <w:numFmt w:val="lowerLetter"/>
      <w:lvlText w:val="%8)"/>
      <w:lvlJc w:val="left"/>
      <w:pPr>
        <w:ind w:left="3864" w:hanging="420"/>
      </w:pPr>
      <w:rPr>
        <w:rFonts w:cs="Times New Roman"/>
      </w:rPr>
    </w:lvl>
    <w:lvl w:ilvl="8" w:tentative="0">
      <w:start w:val="1"/>
      <w:numFmt w:val="lowerRoman"/>
      <w:lvlText w:val="%9."/>
      <w:lvlJc w:val="right"/>
      <w:pPr>
        <w:ind w:left="4284" w:hanging="420"/>
      </w:pPr>
      <w:rPr>
        <w:rFonts w:cs="Times New Roman"/>
      </w:rPr>
    </w:lvl>
  </w:abstractNum>
  <w:abstractNum w:abstractNumId="24">
    <w:nsid w:val="61A82C25"/>
    <w:multiLevelType w:val="multilevel"/>
    <w:tmpl w:val="61A82C25"/>
    <w:lvl w:ilvl="0" w:tentative="0">
      <w:start w:val="1"/>
      <w:numFmt w:val="decimal"/>
      <w:lvlText w:val="%1."/>
      <w:lvlJc w:val="left"/>
      <w:pPr>
        <w:ind w:left="840" w:hanging="420"/>
      </w:pPr>
      <w:rPr>
        <w:rFonts w:hint="eastAsia"/>
      </w:rPr>
    </w:lvl>
    <w:lvl w:ilvl="1" w:tentative="0">
      <w:start w:val="1"/>
      <w:numFmt w:val="decimal"/>
      <w:lvlText w:val="%2."/>
      <w:lvlJc w:val="left"/>
      <w:pPr>
        <w:ind w:left="1260" w:hanging="420"/>
      </w:pPr>
      <w:rPr>
        <w:rFonts w:hint="eastAsia"/>
      </w:rPr>
    </w:lvl>
    <w:lvl w:ilvl="2" w:tentative="0">
      <w:start w:val="1"/>
      <w:numFmt w:val="decimal"/>
      <w:lvlText w:val="%3."/>
      <w:lvlJc w:val="left"/>
      <w:pPr>
        <w:ind w:left="1620" w:hanging="36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65885DA4"/>
    <w:multiLevelType w:val="multilevel"/>
    <w:tmpl w:val="65885DA4"/>
    <w:lvl w:ilvl="0" w:tentative="0">
      <w:start w:val="1"/>
      <w:numFmt w:val="decimal"/>
      <w:lvlText w:val="%1."/>
      <w:lvlJc w:val="left"/>
      <w:pPr>
        <w:ind w:left="2580" w:hanging="420"/>
      </w:pPr>
      <w:rPr>
        <w:rFonts w:cs="Times New Roman"/>
      </w:rPr>
    </w:lvl>
    <w:lvl w:ilvl="1" w:tentative="0">
      <w:start w:val="1"/>
      <w:numFmt w:val="lowerLetter"/>
      <w:lvlText w:val="%2)"/>
      <w:lvlJc w:val="left"/>
      <w:pPr>
        <w:ind w:left="3000" w:hanging="420"/>
      </w:pPr>
      <w:rPr>
        <w:rFonts w:cs="Times New Roman"/>
      </w:rPr>
    </w:lvl>
    <w:lvl w:ilvl="2" w:tentative="0">
      <w:start w:val="1"/>
      <w:numFmt w:val="lowerRoman"/>
      <w:lvlText w:val="%3."/>
      <w:lvlJc w:val="right"/>
      <w:pPr>
        <w:ind w:left="3420" w:hanging="420"/>
      </w:pPr>
      <w:rPr>
        <w:rFonts w:cs="Times New Roman"/>
      </w:rPr>
    </w:lvl>
    <w:lvl w:ilvl="3" w:tentative="0">
      <w:start w:val="1"/>
      <w:numFmt w:val="decimal"/>
      <w:lvlText w:val="%4."/>
      <w:lvlJc w:val="left"/>
      <w:pPr>
        <w:ind w:left="3840" w:hanging="420"/>
      </w:pPr>
      <w:rPr>
        <w:rFonts w:cs="Times New Roman"/>
      </w:rPr>
    </w:lvl>
    <w:lvl w:ilvl="4" w:tentative="0">
      <w:start w:val="1"/>
      <w:numFmt w:val="lowerLetter"/>
      <w:lvlText w:val="%5)"/>
      <w:lvlJc w:val="left"/>
      <w:pPr>
        <w:ind w:left="4260" w:hanging="420"/>
      </w:pPr>
      <w:rPr>
        <w:rFonts w:cs="Times New Roman"/>
      </w:rPr>
    </w:lvl>
    <w:lvl w:ilvl="5" w:tentative="0">
      <w:start w:val="1"/>
      <w:numFmt w:val="lowerRoman"/>
      <w:lvlText w:val="%6."/>
      <w:lvlJc w:val="right"/>
      <w:pPr>
        <w:ind w:left="4680" w:hanging="420"/>
      </w:pPr>
      <w:rPr>
        <w:rFonts w:cs="Times New Roman"/>
      </w:rPr>
    </w:lvl>
    <w:lvl w:ilvl="6" w:tentative="0">
      <w:start w:val="1"/>
      <w:numFmt w:val="decimal"/>
      <w:lvlText w:val="%7."/>
      <w:lvlJc w:val="left"/>
      <w:pPr>
        <w:ind w:left="5100" w:hanging="420"/>
      </w:pPr>
      <w:rPr>
        <w:rFonts w:cs="Times New Roman"/>
      </w:rPr>
    </w:lvl>
    <w:lvl w:ilvl="7" w:tentative="0">
      <w:start w:val="1"/>
      <w:numFmt w:val="lowerLetter"/>
      <w:lvlText w:val="%8)"/>
      <w:lvlJc w:val="left"/>
      <w:pPr>
        <w:ind w:left="5520" w:hanging="420"/>
      </w:pPr>
      <w:rPr>
        <w:rFonts w:cs="Times New Roman"/>
      </w:rPr>
    </w:lvl>
    <w:lvl w:ilvl="8" w:tentative="0">
      <w:start w:val="1"/>
      <w:numFmt w:val="lowerRoman"/>
      <w:lvlText w:val="%9."/>
      <w:lvlJc w:val="right"/>
      <w:pPr>
        <w:ind w:left="5940" w:hanging="420"/>
      </w:pPr>
      <w:rPr>
        <w:rFonts w:cs="Times New Roman"/>
      </w:rPr>
    </w:lvl>
  </w:abstractNum>
  <w:abstractNum w:abstractNumId="26">
    <w:nsid w:val="66290511"/>
    <w:multiLevelType w:val="multilevel"/>
    <w:tmpl w:val="66290511"/>
    <w:lvl w:ilvl="0" w:tentative="0">
      <w:start w:val="1"/>
      <w:numFmt w:val="chineseCountingThousand"/>
      <w:lvlText w:val="(%1)"/>
      <w:lvlJc w:val="left"/>
      <w:pPr>
        <w:ind w:left="2160" w:hanging="420"/>
      </w:pPr>
      <w:rPr>
        <w:rFonts w:cs="Times New Roman"/>
      </w:rPr>
    </w:lvl>
    <w:lvl w:ilvl="1" w:tentative="0">
      <w:start w:val="1"/>
      <w:numFmt w:val="lowerLetter"/>
      <w:lvlText w:val="%2)"/>
      <w:lvlJc w:val="left"/>
      <w:pPr>
        <w:ind w:left="2580" w:hanging="420"/>
      </w:pPr>
      <w:rPr>
        <w:rFonts w:cs="Times New Roman"/>
      </w:rPr>
    </w:lvl>
    <w:lvl w:ilvl="2" w:tentative="0">
      <w:start w:val="1"/>
      <w:numFmt w:val="lowerRoman"/>
      <w:lvlText w:val="%3."/>
      <w:lvlJc w:val="right"/>
      <w:pPr>
        <w:ind w:left="3000" w:hanging="420"/>
      </w:pPr>
      <w:rPr>
        <w:rFonts w:cs="Times New Roman"/>
      </w:rPr>
    </w:lvl>
    <w:lvl w:ilvl="3" w:tentative="0">
      <w:start w:val="1"/>
      <w:numFmt w:val="decimal"/>
      <w:lvlText w:val="%4."/>
      <w:lvlJc w:val="left"/>
      <w:pPr>
        <w:ind w:left="3420" w:hanging="420"/>
      </w:pPr>
      <w:rPr>
        <w:rFonts w:cs="Times New Roman"/>
      </w:rPr>
    </w:lvl>
    <w:lvl w:ilvl="4" w:tentative="0">
      <w:start w:val="1"/>
      <w:numFmt w:val="lowerLetter"/>
      <w:lvlText w:val="%5)"/>
      <w:lvlJc w:val="left"/>
      <w:pPr>
        <w:ind w:left="3840" w:hanging="420"/>
      </w:pPr>
      <w:rPr>
        <w:rFonts w:cs="Times New Roman"/>
      </w:rPr>
    </w:lvl>
    <w:lvl w:ilvl="5" w:tentative="0">
      <w:start w:val="1"/>
      <w:numFmt w:val="lowerRoman"/>
      <w:lvlText w:val="%6."/>
      <w:lvlJc w:val="right"/>
      <w:pPr>
        <w:ind w:left="4260" w:hanging="420"/>
      </w:pPr>
      <w:rPr>
        <w:rFonts w:cs="Times New Roman"/>
      </w:rPr>
    </w:lvl>
    <w:lvl w:ilvl="6" w:tentative="0">
      <w:start w:val="1"/>
      <w:numFmt w:val="decimal"/>
      <w:lvlText w:val="%7."/>
      <w:lvlJc w:val="left"/>
      <w:pPr>
        <w:ind w:left="4680" w:hanging="420"/>
      </w:pPr>
      <w:rPr>
        <w:rFonts w:cs="Times New Roman"/>
      </w:rPr>
    </w:lvl>
    <w:lvl w:ilvl="7" w:tentative="0">
      <w:start w:val="1"/>
      <w:numFmt w:val="lowerLetter"/>
      <w:lvlText w:val="%8)"/>
      <w:lvlJc w:val="left"/>
      <w:pPr>
        <w:ind w:left="5100" w:hanging="420"/>
      </w:pPr>
      <w:rPr>
        <w:rFonts w:cs="Times New Roman"/>
      </w:rPr>
    </w:lvl>
    <w:lvl w:ilvl="8" w:tentative="0">
      <w:start w:val="1"/>
      <w:numFmt w:val="lowerRoman"/>
      <w:lvlText w:val="%9."/>
      <w:lvlJc w:val="right"/>
      <w:pPr>
        <w:ind w:left="5520" w:hanging="420"/>
      </w:pPr>
      <w:rPr>
        <w:rFonts w:cs="Times New Roman"/>
      </w:rPr>
    </w:lvl>
  </w:abstractNum>
  <w:abstractNum w:abstractNumId="27">
    <w:nsid w:val="69750AC5"/>
    <w:multiLevelType w:val="multilevel"/>
    <w:tmpl w:val="69750AC5"/>
    <w:lvl w:ilvl="0" w:tentative="0">
      <w:start w:val="1"/>
      <w:numFmt w:val="chineseCountingThousand"/>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chineseCountingThousand"/>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28">
    <w:nsid w:val="6E841D29"/>
    <w:multiLevelType w:val="multilevel"/>
    <w:tmpl w:val="6E841D29"/>
    <w:lvl w:ilvl="0" w:tentative="0">
      <w:start w:val="1"/>
      <w:numFmt w:val="decimal"/>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29">
    <w:nsid w:val="6EAB6836"/>
    <w:multiLevelType w:val="multilevel"/>
    <w:tmpl w:val="6EAB6836"/>
    <w:lvl w:ilvl="0" w:tentative="0">
      <w:start w:val="1"/>
      <w:numFmt w:val="chineseCountingThousand"/>
      <w:lvlText w:val="(%1)"/>
      <w:lvlJc w:val="left"/>
      <w:pPr>
        <w:ind w:left="900" w:hanging="420"/>
      </w:pPr>
      <w:rPr>
        <w:rFonts w:cs="Times New Roman"/>
      </w:rPr>
    </w:lvl>
    <w:lvl w:ilvl="1" w:tentative="0">
      <w:start w:val="3"/>
      <w:numFmt w:val="japaneseCounting"/>
      <w:lvlText w:val="（%2）"/>
      <w:lvlJc w:val="left"/>
      <w:pPr>
        <w:ind w:left="1620" w:hanging="720"/>
      </w:pPr>
      <w:rPr>
        <w:rFonts w:hint="default" w:cs="Times New Roman"/>
      </w:rPr>
    </w:lvl>
    <w:lvl w:ilvl="2" w:tentative="0">
      <w:start w:val="1"/>
      <w:numFmt w:val="lowerRoman"/>
      <w:lvlText w:val="%3."/>
      <w:lvlJc w:val="right"/>
      <w:pPr>
        <w:ind w:left="1740" w:hanging="420"/>
      </w:pPr>
      <w:rPr>
        <w:rFonts w:cs="Times New Roman"/>
      </w:rPr>
    </w:lvl>
    <w:lvl w:ilvl="3" w:tentative="0">
      <w:start w:val="1"/>
      <w:numFmt w:val="chineseCountingThousand"/>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30">
    <w:nsid w:val="6EB13995"/>
    <w:multiLevelType w:val="multilevel"/>
    <w:tmpl w:val="6EB13995"/>
    <w:lvl w:ilvl="0" w:tentative="0">
      <w:start w:val="1"/>
      <w:numFmt w:val="chineseCountingThousand"/>
      <w:lvlText w:val="(%1)"/>
      <w:lvlJc w:val="left"/>
      <w:pPr>
        <w:ind w:left="420" w:hanging="420"/>
      </w:pPr>
      <w:rPr>
        <w:rFonts w:cs="Times New Roman"/>
      </w:rPr>
    </w:lvl>
    <w:lvl w:ilvl="1" w:tentative="0">
      <w:start w:val="1"/>
      <w:numFmt w:val="decimalFullWidth"/>
      <w:lvlText w:val="%2．"/>
      <w:lvlJc w:val="left"/>
      <w:pPr>
        <w:ind w:left="900" w:hanging="480"/>
      </w:pPr>
      <w:rPr>
        <w:rFonts w:hint="default" w:cs="Times New Roman"/>
      </w:rPr>
    </w:lvl>
    <w:lvl w:ilvl="2" w:tentative="0">
      <w:start w:val="1"/>
      <w:numFmt w:val="decimalFullWidth"/>
      <w:lvlText w:val="%3."/>
      <w:lvlJc w:val="left"/>
      <w:pPr>
        <w:ind w:left="1200" w:hanging="360"/>
      </w:pPr>
      <w:rPr>
        <w:rFonts w:hint="default"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1">
    <w:nsid w:val="70AC52BA"/>
    <w:multiLevelType w:val="multilevel"/>
    <w:tmpl w:val="70AC52BA"/>
    <w:lvl w:ilvl="0" w:tentative="0">
      <w:start w:val="1"/>
      <w:numFmt w:val="japaneseCounting"/>
      <w:lvlText w:val="（%1）"/>
      <w:lvlJc w:val="left"/>
      <w:pPr>
        <w:ind w:left="1423"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2">
    <w:nsid w:val="71F932D1"/>
    <w:multiLevelType w:val="multilevel"/>
    <w:tmpl w:val="71F932D1"/>
    <w:lvl w:ilvl="0" w:tentative="0">
      <w:start w:val="1"/>
      <w:numFmt w:val="chineseCountingThousand"/>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chineseCountingThousand"/>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33">
    <w:nsid w:val="743E3C9C"/>
    <w:multiLevelType w:val="multilevel"/>
    <w:tmpl w:val="743E3C9C"/>
    <w:lvl w:ilvl="0" w:tentative="0">
      <w:start w:val="1"/>
      <w:numFmt w:val="decimal"/>
      <w:lvlText w:val="%1."/>
      <w:lvlJc w:val="left"/>
      <w:pPr>
        <w:ind w:left="840" w:hanging="420"/>
      </w:pPr>
      <w:rPr>
        <w:rFonts w:hint="eastAsia"/>
      </w:rPr>
    </w:lvl>
    <w:lvl w:ilvl="1" w:tentative="0">
      <w:start w:val="1"/>
      <w:numFmt w:val="decimal"/>
      <w:lvlText w:val="%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797A10F3"/>
    <w:multiLevelType w:val="multilevel"/>
    <w:tmpl w:val="797A10F3"/>
    <w:lvl w:ilvl="0" w:tentative="0">
      <w:start w:val="1"/>
      <w:numFmt w:val="decimal"/>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chineseCountingThousand"/>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35">
    <w:nsid w:val="7A1C62CA"/>
    <w:multiLevelType w:val="multilevel"/>
    <w:tmpl w:val="7A1C62CA"/>
    <w:lvl w:ilvl="0" w:tentative="0">
      <w:start w:val="1"/>
      <w:numFmt w:val="chineseCountingThousand"/>
      <w:lvlText w:val="(%1)"/>
      <w:lvlJc w:val="left"/>
      <w:pPr>
        <w:ind w:left="900" w:hanging="420"/>
      </w:pPr>
      <w:rPr>
        <w:rFonts w:hint="eastAsia"/>
      </w:rPr>
    </w:lvl>
    <w:lvl w:ilvl="1" w:tentative="0">
      <w:start w:val="1"/>
      <w:numFmt w:val="decimal"/>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36">
    <w:nsid w:val="7FC20DBE"/>
    <w:multiLevelType w:val="multilevel"/>
    <w:tmpl w:val="7FC20DBE"/>
    <w:lvl w:ilvl="0" w:tentative="0">
      <w:start w:val="1"/>
      <w:numFmt w:val="decimal"/>
      <w:lvlText w:val="%1."/>
      <w:lvlJc w:val="left"/>
      <w:pPr>
        <w:ind w:left="900" w:hanging="420"/>
      </w:pPr>
      <w:rPr>
        <w:rFonts w:cs="Times New Roman"/>
      </w:rPr>
    </w:lvl>
    <w:lvl w:ilvl="1" w:tentative="0">
      <w:start w:val="1"/>
      <w:numFmt w:val="decimal"/>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num w:numId="1">
    <w:abstractNumId w:val="0"/>
  </w:num>
  <w:num w:numId="2">
    <w:abstractNumId w:val="6"/>
  </w:num>
  <w:num w:numId="3">
    <w:abstractNumId w:val="23"/>
  </w:num>
  <w:num w:numId="4">
    <w:abstractNumId w:val="18"/>
  </w:num>
  <w:num w:numId="5">
    <w:abstractNumId w:val="16"/>
  </w:num>
  <w:num w:numId="6">
    <w:abstractNumId w:val="33"/>
  </w:num>
  <w:num w:numId="7">
    <w:abstractNumId w:val="3"/>
  </w:num>
  <w:num w:numId="8">
    <w:abstractNumId w:val="24"/>
  </w:num>
  <w:num w:numId="9">
    <w:abstractNumId w:val="34"/>
  </w:num>
  <w:num w:numId="10">
    <w:abstractNumId w:val="19"/>
  </w:num>
  <w:num w:numId="11">
    <w:abstractNumId w:val="36"/>
  </w:num>
  <w:num w:numId="12">
    <w:abstractNumId w:val="20"/>
  </w:num>
  <w:num w:numId="13">
    <w:abstractNumId w:val="30"/>
  </w:num>
  <w:num w:numId="14">
    <w:abstractNumId w:val="22"/>
  </w:num>
  <w:num w:numId="15">
    <w:abstractNumId w:val="27"/>
  </w:num>
  <w:num w:numId="16">
    <w:abstractNumId w:val="12"/>
  </w:num>
  <w:num w:numId="17">
    <w:abstractNumId w:val="26"/>
  </w:num>
  <w:num w:numId="18">
    <w:abstractNumId w:val="25"/>
  </w:num>
  <w:num w:numId="19">
    <w:abstractNumId w:val="13"/>
  </w:num>
  <w:num w:numId="20">
    <w:abstractNumId w:val="8"/>
  </w:num>
  <w:num w:numId="21">
    <w:abstractNumId w:val="29"/>
  </w:num>
  <w:num w:numId="22">
    <w:abstractNumId w:val="32"/>
  </w:num>
  <w:num w:numId="23">
    <w:abstractNumId w:val="21"/>
  </w:num>
  <w:num w:numId="24">
    <w:abstractNumId w:val="4"/>
  </w:num>
  <w:num w:numId="25">
    <w:abstractNumId w:val="28"/>
  </w:num>
  <w:num w:numId="26">
    <w:abstractNumId w:val="15"/>
  </w:num>
  <w:num w:numId="27">
    <w:abstractNumId w:val="1"/>
  </w:num>
  <w:num w:numId="28">
    <w:abstractNumId w:val="35"/>
  </w:num>
  <w:num w:numId="29">
    <w:abstractNumId w:val="10"/>
  </w:num>
  <w:num w:numId="30">
    <w:abstractNumId w:val="14"/>
  </w:num>
  <w:num w:numId="31">
    <w:abstractNumId w:val="11"/>
  </w:num>
  <w:num w:numId="32">
    <w:abstractNumId w:val="7"/>
  </w:num>
  <w:num w:numId="33">
    <w:abstractNumId w:val="5"/>
  </w:num>
  <w:num w:numId="34">
    <w:abstractNumId w:val="9"/>
  </w:num>
  <w:num w:numId="35">
    <w:abstractNumId w:val="2"/>
  </w:num>
  <w:num w:numId="36">
    <w:abstractNumId w:val="17"/>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828"/>
    <w:rsid w:val="00031695"/>
    <w:rsid w:val="00032F21"/>
    <w:rsid w:val="000827F7"/>
    <w:rsid w:val="00083940"/>
    <w:rsid w:val="00176FA2"/>
    <w:rsid w:val="001A5790"/>
    <w:rsid w:val="001D5EE3"/>
    <w:rsid w:val="001F65C2"/>
    <w:rsid w:val="00222D2D"/>
    <w:rsid w:val="00267035"/>
    <w:rsid w:val="00276F57"/>
    <w:rsid w:val="002A3455"/>
    <w:rsid w:val="003635B6"/>
    <w:rsid w:val="00370119"/>
    <w:rsid w:val="003B79EE"/>
    <w:rsid w:val="003C1CDE"/>
    <w:rsid w:val="00417D62"/>
    <w:rsid w:val="004D1ADF"/>
    <w:rsid w:val="004F6387"/>
    <w:rsid w:val="00524540"/>
    <w:rsid w:val="00576BDB"/>
    <w:rsid w:val="005854D3"/>
    <w:rsid w:val="0062143E"/>
    <w:rsid w:val="00630000"/>
    <w:rsid w:val="00642BA8"/>
    <w:rsid w:val="00672553"/>
    <w:rsid w:val="00691AC3"/>
    <w:rsid w:val="006A7E19"/>
    <w:rsid w:val="006D0A0F"/>
    <w:rsid w:val="006D1828"/>
    <w:rsid w:val="006F45C4"/>
    <w:rsid w:val="00783D9F"/>
    <w:rsid w:val="007849B6"/>
    <w:rsid w:val="0080274C"/>
    <w:rsid w:val="00811118"/>
    <w:rsid w:val="00816EB2"/>
    <w:rsid w:val="0082277C"/>
    <w:rsid w:val="00836578"/>
    <w:rsid w:val="00844549"/>
    <w:rsid w:val="008622D9"/>
    <w:rsid w:val="00864EA1"/>
    <w:rsid w:val="00886C57"/>
    <w:rsid w:val="009233C7"/>
    <w:rsid w:val="0097311B"/>
    <w:rsid w:val="009A1B7D"/>
    <w:rsid w:val="009B5F0F"/>
    <w:rsid w:val="009B681F"/>
    <w:rsid w:val="009D0410"/>
    <w:rsid w:val="00B806DD"/>
    <w:rsid w:val="00BA6603"/>
    <w:rsid w:val="00C06082"/>
    <w:rsid w:val="00C22E53"/>
    <w:rsid w:val="00C26A43"/>
    <w:rsid w:val="00C32ADC"/>
    <w:rsid w:val="00CA6829"/>
    <w:rsid w:val="00CF1DE4"/>
    <w:rsid w:val="00D2244C"/>
    <w:rsid w:val="00D22639"/>
    <w:rsid w:val="00D32D0C"/>
    <w:rsid w:val="00D93CEE"/>
    <w:rsid w:val="00E548EF"/>
    <w:rsid w:val="00E9350D"/>
    <w:rsid w:val="00F40859"/>
    <w:rsid w:val="00F5363F"/>
    <w:rsid w:val="00F934E0"/>
    <w:rsid w:val="00FC4BD6"/>
    <w:rsid w:val="00FF5126"/>
    <w:rsid w:val="012A13AC"/>
    <w:rsid w:val="01635E35"/>
    <w:rsid w:val="032D3D0B"/>
    <w:rsid w:val="07A179F9"/>
    <w:rsid w:val="080C7F14"/>
    <w:rsid w:val="08B01723"/>
    <w:rsid w:val="08D54949"/>
    <w:rsid w:val="092D0F97"/>
    <w:rsid w:val="0AE12C35"/>
    <w:rsid w:val="0F7E1B39"/>
    <w:rsid w:val="10E8486A"/>
    <w:rsid w:val="177650C5"/>
    <w:rsid w:val="19AA4925"/>
    <w:rsid w:val="1D0A19BB"/>
    <w:rsid w:val="1D6B4458"/>
    <w:rsid w:val="1D801BDB"/>
    <w:rsid w:val="203B72D4"/>
    <w:rsid w:val="212764F2"/>
    <w:rsid w:val="21EF1472"/>
    <w:rsid w:val="2BA70115"/>
    <w:rsid w:val="2E923CE7"/>
    <w:rsid w:val="3229427D"/>
    <w:rsid w:val="342026DF"/>
    <w:rsid w:val="354978F2"/>
    <w:rsid w:val="37D535A0"/>
    <w:rsid w:val="3C161652"/>
    <w:rsid w:val="3E5A56E6"/>
    <w:rsid w:val="3FCF45F6"/>
    <w:rsid w:val="423F15B4"/>
    <w:rsid w:val="42861B5F"/>
    <w:rsid w:val="43484331"/>
    <w:rsid w:val="44CE309D"/>
    <w:rsid w:val="45065A84"/>
    <w:rsid w:val="4836011A"/>
    <w:rsid w:val="489177EF"/>
    <w:rsid w:val="4A2B434C"/>
    <w:rsid w:val="500D1867"/>
    <w:rsid w:val="511E2BC6"/>
    <w:rsid w:val="533E0C9A"/>
    <w:rsid w:val="54FC407A"/>
    <w:rsid w:val="55B52781"/>
    <w:rsid w:val="57FB25D0"/>
    <w:rsid w:val="59146279"/>
    <w:rsid w:val="5D707CCD"/>
    <w:rsid w:val="5DC04AB1"/>
    <w:rsid w:val="64EB7222"/>
    <w:rsid w:val="65155DB6"/>
    <w:rsid w:val="65B03CAF"/>
    <w:rsid w:val="668343E6"/>
    <w:rsid w:val="66A51E0A"/>
    <w:rsid w:val="66D677E4"/>
    <w:rsid w:val="66E37A6D"/>
    <w:rsid w:val="6CF262C4"/>
    <w:rsid w:val="6EC96AAC"/>
    <w:rsid w:val="6F0E61AF"/>
    <w:rsid w:val="70B73ED4"/>
    <w:rsid w:val="72D7409E"/>
    <w:rsid w:val="72E86E07"/>
    <w:rsid w:val="753B1D05"/>
    <w:rsid w:val="75DE3949"/>
    <w:rsid w:val="75ED67B9"/>
    <w:rsid w:val="77D86509"/>
    <w:rsid w:val="7CFC7DE6"/>
    <w:rsid w:val="7D3236A4"/>
    <w:rsid w:val="7F634A29"/>
    <w:rsid w:val="7FB761B1"/>
    <w:rsid w:val="7FCB5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36"/>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6"/>
    <w:unhideWhenUsed/>
    <w:qFormat/>
    <w:uiPriority w:val="9"/>
    <w:pPr>
      <w:spacing w:line="360" w:lineRule="auto"/>
      <w:ind w:firstLine="482" w:firstLineChars="200"/>
      <w:outlineLvl w:val="2"/>
    </w:pPr>
    <w:rPr>
      <w:rFonts w:ascii="宋体" w:hAnsi="宋体" w:eastAsia="宋体" w:cs="Times New Roman"/>
      <w:b/>
      <w:color w:val="000000" w:themeColor="text1"/>
      <w:sz w:val="24"/>
      <w:szCs w:val="24"/>
      <w14:textFill>
        <w14:solidFill>
          <w14:schemeClr w14:val="tx1"/>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qFormat/>
    <w:uiPriority w:val="99"/>
    <w:pPr>
      <w:widowControl w:val="0"/>
      <w:spacing w:after="120"/>
      <w:ind w:left="420" w:leftChars="200"/>
      <w:jc w:val="both"/>
    </w:pPr>
    <w:rPr>
      <w:rFonts w:ascii="Calibri" w:hAnsi="Calibri" w:eastAsia="宋体" w:cs="Times New Roman"/>
      <w:kern w:val="0"/>
      <w:sz w:val="20"/>
      <w:szCs w:val="20"/>
      <w:lang w:val="en-US" w:eastAsia="zh-CN" w:bidi="ar-SA"/>
    </w:rPr>
  </w:style>
  <w:style w:type="paragraph" w:styleId="6">
    <w:name w:val="Plain Text"/>
    <w:basedOn w:val="1"/>
    <w:qFormat/>
    <w:uiPriority w:val="0"/>
    <w:rPr>
      <w:rFonts w:ascii="宋体" w:hAnsi="Courier New" w:cs="Courier New"/>
      <w:szCs w:val="21"/>
    </w:rPr>
  </w:style>
  <w:style w:type="paragraph" w:styleId="7">
    <w:name w:val="Body Text Indent 2"/>
    <w:qFormat/>
    <w:uiPriority w:val="99"/>
    <w:pPr>
      <w:widowControl w:val="0"/>
      <w:spacing w:after="120" w:line="480" w:lineRule="auto"/>
      <w:ind w:left="420" w:leftChars="200"/>
      <w:jc w:val="both"/>
    </w:pPr>
    <w:rPr>
      <w:rFonts w:ascii="Calibri" w:hAnsi="Calibri" w:eastAsia="宋体" w:cs="Times New Roman"/>
      <w:kern w:val="0"/>
      <w:sz w:val="20"/>
      <w:szCs w:val="20"/>
      <w:lang w:val="en-US" w:eastAsia="zh-CN" w:bidi="ar-SA"/>
    </w:rPr>
  </w:style>
  <w:style w:type="paragraph" w:styleId="8">
    <w:name w:val="Balloon Text"/>
    <w:basedOn w:val="1"/>
    <w:link w:val="24"/>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Subtitle"/>
    <w:next w:val="1"/>
    <w:link w:val="35"/>
    <w:qFormat/>
    <w:uiPriority w:val="99"/>
    <w:pPr>
      <w:widowControl/>
      <w:spacing w:before="240" w:after="60" w:line="312" w:lineRule="auto"/>
      <w:jc w:val="center"/>
      <w:outlineLvl w:val="1"/>
    </w:pPr>
    <w:rPr>
      <w:rFonts w:ascii="Cambria" w:hAnsi="Cambria" w:eastAsia="宋体" w:cs="Times New Roman"/>
      <w:b/>
      <w:bCs/>
      <w:kern w:val="28"/>
      <w:sz w:val="32"/>
      <w:szCs w:val="32"/>
      <w:lang w:val="en-US" w:eastAsia="zh-CN" w:bidi="ar-SA"/>
    </w:rPr>
  </w:style>
  <w:style w:type="paragraph" w:styleId="13">
    <w:name w:val="toc 2"/>
    <w:basedOn w:val="1"/>
    <w:next w:val="1"/>
    <w:semiHidden/>
    <w:unhideWhenUsed/>
    <w:qFormat/>
    <w:uiPriority w:val="39"/>
    <w:pPr>
      <w:ind w:left="420" w:leftChars="200"/>
    </w:pPr>
  </w:style>
  <w:style w:type="paragraph" w:styleId="14">
    <w:name w:val="Normal (Web)"/>
    <w:basedOn w:val="1"/>
    <w:unhideWhenUsed/>
    <w:qFormat/>
    <w:uiPriority w:val="99"/>
    <w:pPr>
      <w:widowControl/>
      <w:spacing w:before="100" w:beforeAutospacing="1" w:after="100" w:afterAutospacing="1" w:line="360" w:lineRule="auto"/>
      <w:ind w:firstLine="480" w:firstLineChars="200"/>
      <w:jc w:val="left"/>
    </w:pPr>
    <w:rPr>
      <w:rFonts w:ascii="宋体" w:hAnsi="宋体" w:eastAsia="宋体" w:cs="宋体"/>
      <w:kern w:val="0"/>
      <w:sz w:val="24"/>
      <w:szCs w:val="24"/>
    </w:rPr>
  </w:style>
  <w:style w:type="paragraph" w:styleId="15">
    <w:name w:val="Title"/>
    <w:next w:val="1"/>
    <w:qFormat/>
    <w:uiPriority w:val="99"/>
    <w:pPr>
      <w:widowControl w:val="0"/>
      <w:spacing w:before="240" w:after="60"/>
      <w:jc w:val="center"/>
      <w:outlineLvl w:val="0"/>
    </w:pPr>
    <w:rPr>
      <w:rFonts w:ascii="Cambria" w:hAnsi="Cambria" w:eastAsia="方正小标宋简体" w:cs="Times New Roman"/>
      <w:b/>
      <w:bCs/>
      <w:kern w:val="0"/>
      <w:sz w:val="44"/>
      <w:szCs w:val="32"/>
      <w:lang w:val="en-US" w:eastAsia="zh-CN" w:bidi="ar-SA"/>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Strong"/>
    <w:qFormat/>
    <w:uiPriority w:val="0"/>
    <w:rPr>
      <w:b/>
      <w:bCs/>
    </w:rPr>
  </w:style>
  <w:style w:type="character" w:styleId="20">
    <w:name w:val="page number"/>
    <w:qFormat/>
    <w:uiPriority w:val="0"/>
  </w:style>
  <w:style w:type="character" w:styleId="21">
    <w:name w:val="Hyperlink"/>
    <w:basedOn w:val="18"/>
    <w:semiHidden/>
    <w:unhideWhenUsed/>
    <w:qFormat/>
    <w:uiPriority w:val="99"/>
    <w:rPr>
      <w:color w:val="0000FF"/>
      <w:u w:val="single"/>
    </w:rPr>
  </w:style>
  <w:style w:type="character" w:customStyle="1" w:styleId="22">
    <w:name w:val="页眉 Char"/>
    <w:basedOn w:val="18"/>
    <w:link w:val="10"/>
    <w:qFormat/>
    <w:uiPriority w:val="99"/>
    <w:rPr>
      <w:sz w:val="18"/>
      <w:szCs w:val="18"/>
    </w:rPr>
  </w:style>
  <w:style w:type="character" w:customStyle="1" w:styleId="23">
    <w:name w:val="页脚 Char"/>
    <w:basedOn w:val="18"/>
    <w:link w:val="9"/>
    <w:qFormat/>
    <w:uiPriority w:val="99"/>
    <w:rPr>
      <w:sz w:val="18"/>
      <w:szCs w:val="18"/>
    </w:rPr>
  </w:style>
  <w:style w:type="character" w:customStyle="1" w:styleId="24">
    <w:name w:val="批注框文本 Char"/>
    <w:basedOn w:val="18"/>
    <w:link w:val="8"/>
    <w:semiHidden/>
    <w:qFormat/>
    <w:uiPriority w:val="99"/>
    <w:rPr>
      <w:sz w:val="18"/>
      <w:szCs w:val="18"/>
    </w:rPr>
  </w:style>
  <w:style w:type="paragraph" w:styleId="25">
    <w:name w:val="List Paragraph"/>
    <w:basedOn w:val="1"/>
    <w:qFormat/>
    <w:uiPriority w:val="34"/>
    <w:pPr>
      <w:ind w:firstLine="420" w:firstLineChars="200"/>
    </w:pPr>
  </w:style>
  <w:style w:type="character" w:customStyle="1" w:styleId="26">
    <w:name w:val="标题 3 Char"/>
    <w:basedOn w:val="18"/>
    <w:link w:val="4"/>
    <w:qFormat/>
    <w:uiPriority w:val="9"/>
    <w:rPr>
      <w:rFonts w:ascii="宋体" w:hAnsi="宋体" w:eastAsia="宋体" w:cs="Times New Roman"/>
      <w:b/>
      <w:color w:val="000000" w:themeColor="text1"/>
      <w:sz w:val="24"/>
      <w:szCs w:val="24"/>
      <w14:textFill>
        <w14:solidFill>
          <w14:schemeClr w14:val="tx1"/>
        </w14:solidFill>
      </w14:textFill>
    </w:rPr>
  </w:style>
  <w:style w:type="paragraph" w:customStyle="1" w:styleId="27">
    <w:name w:val="小正文"/>
    <w:basedOn w:val="1"/>
    <w:qFormat/>
    <w:uiPriority w:val="99"/>
    <w:pPr>
      <w:spacing w:line="360" w:lineRule="auto"/>
      <w:ind w:firstLine="560" w:firstLineChars="200"/>
      <w:jc w:val="left"/>
    </w:pPr>
    <w:rPr>
      <w:rFonts w:ascii="宋体" w:hAnsi="宋体" w:eastAsia="宋体"/>
      <w:bCs/>
      <w:sz w:val="28"/>
      <w:szCs w:val="28"/>
    </w:rPr>
  </w:style>
  <w:style w:type="paragraph" w:customStyle="1" w:styleId="28">
    <w:name w:val="正文文本1"/>
    <w:qFormat/>
    <w:uiPriority w:val="0"/>
    <w:pPr>
      <w:widowControl w:val="0"/>
      <w:shd w:val="clear" w:color="auto" w:fill="FFFFFF"/>
      <w:spacing w:line="533" w:lineRule="exact"/>
      <w:jc w:val="distribute"/>
    </w:pPr>
    <w:rPr>
      <w:rFonts w:ascii="MingLiU" w:hAnsi="MingLiU" w:eastAsia="MingLiU" w:cs="Times New Roman"/>
      <w:kern w:val="0"/>
      <w:sz w:val="26"/>
      <w:szCs w:val="26"/>
      <w:lang w:val="en-US" w:eastAsia="zh-CN" w:bidi="ar-SA"/>
    </w:rPr>
  </w:style>
  <w:style w:type="paragraph" w:customStyle="1" w:styleId="29">
    <w:name w:val="文"/>
    <w:qFormat/>
    <w:uiPriority w:val="0"/>
    <w:pPr>
      <w:widowControl w:val="0"/>
      <w:spacing w:line="360" w:lineRule="auto"/>
      <w:jc w:val="center"/>
    </w:pPr>
    <w:rPr>
      <w:rFonts w:ascii="宋体" w:hAnsi="宋体" w:eastAsia="Times New Roman" w:cs="Times New Roman"/>
      <w:kern w:val="0"/>
      <w:sz w:val="24"/>
      <w:szCs w:val="21"/>
      <w:lang w:val="en-US" w:eastAsia="zh-CN" w:bidi="ar-SA"/>
    </w:rPr>
  </w:style>
  <w:style w:type="paragraph" w:customStyle="1" w:styleId="30">
    <w:name w:val="表"/>
    <w:qFormat/>
    <w:uiPriority w:val="0"/>
    <w:pPr>
      <w:widowControl w:val="0"/>
      <w:spacing w:line="180" w:lineRule="atLeast"/>
      <w:jc w:val="left"/>
    </w:pPr>
    <w:rPr>
      <w:rFonts w:ascii="宋体" w:hAnsi="宋体" w:eastAsia="宋体" w:cs="Times New Roman"/>
      <w:kern w:val="2"/>
      <w:sz w:val="21"/>
      <w:szCs w:val="21"/>
      <w:lang w:val="en-US" w:eastAsia="zh-CN" w:bidi="ar-SA"/>
    </w:rPr>
  </w:style>
  <w:style w:type="paragraph" w:customStyle="1" w:styleId="31">
    <w:name w:val="reader-word-layer reader-word-s1-14"/>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customStyle="1" w:styleId="32">
    <w:name w:val="WPSOffice手动目录 1"/>
    <w:qFormat/>
    <w:uiPriority w:val="0"/>
    <w:pPr>
      <w:ind w:leftChars="0"/>
    </w:pPr>
    <w:rPr>
      <w:rFonts w:ascii="Times New Roman" w:hAnsi="Times New Roman" w:eastAsia="宋体" w:cs="Times New Roman"/>
      <w:sz w:val="20"/>
      <w:szCs w:val="20"/>
    </w:rPr>
  </w:style>
  <w:style w:type="paragraph" w:customStyle="1" w:styleId="33">
    <w:name w:val="WPSOffice手动目录 2"/>
    <w:qFormat/>
    <w:uiPriority w:val="0"/>
    <w:pPr>
      <w:ind w:leftChars="200"/>
    </w:pPr>
    <w:rPr>
      <w:rFonts w:ascii="Times New Roman" w:hAnsi="Times New Roman" w:eastAsia="宋体" w:cs="Times New Roman"/>
      <w:sz w:val="20"/>
      <w:szCs w:val="20"/>
    </w:rPr>
  </w:style>
  <w:style w:type="paragraph" w:customStyle="1" w:styleId="34">
    <w:name w:val="小点标题"/>
    <w:uiPriority w:val="99"/>
    <w:pPr>
      <w:widowControl/>
      <w:spacing w:line="360" w:lineRule="auto"/>
      <w:ind w:firstLine="480"/>
      <w:jc w:val="left"/>
    </w:pPr>
    <w:rPr>
      <w:rFonts w:ascii="Times New Roman" w:hAnsi="Times New Roman" w:eastAsia="宋体" w:cs="Times New Roman"/>
      <w:b/>
      <w:color w:val="000000"/>
      <w:kern w:val="0"/>
      <w:sz w:val="28"/>
      <w:szCs w:val="20"/>
      <w:lang w:val="en-US" w:eastAsia="zh-CN" w:bidi="ar-SA"/>
    </w:rPr>
  </w:style>
  <w:style w:type="character" w:customStyle="1" w:styleId="35">
    <w:name w:val="副标题 Char"/>
    <w:link w:val="12"/>
    <w:uiPriority w:val="99"/>
    <w:rPr>
      <w:rFonts w:ascii="Cambria" w:hAnsi="Cambria"/>
      <w:b/>
      <w:bCs/>
      <w:kern w:val="28"/>
      <w:sz w:val="32"/>
      <w:szCs w:val="32"/>
      <w:lang w:val="en-US" w:eastAsia="zh-CN" w:bidi="ar-SA"/>
    </w:rPr>
  </w:style>
  <w:style w:type="character" w:customStyle="1" w:styleId="36">
    <w:name w:val="标题 2 Char"/>
    <w:link w:val="3"/>
    <w:uiPriority w:val="9"/>
    <w:rPr>
      <w:rFonts w:ascii="Arial" w:hAnsi="Arial"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7423</Words>
  <Characters>42317</Characters>
  <Lines>352</Lines>
  <Paragraphs>99</Paragraphs>
  <TotalTime>15</TotalTime>
  <ScaleCrop>false</ScaleCrop>
  <LinksUpToDate>false</LinksUpToDate>
  <CharactersWithSpaces>49641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2020-04-30T03:04:00Z</dcterms:created>
  <dc:creator>Administrator</dc:creator>
  <cp:lastModifiedBy>Administrator</cp:lastModifiedBy>
  <dcterms:modified xsi:type="dcterms:W3CDTF">2020-09-02T01:12:33Z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